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32"/>
          <w:szCs w:val="32"/>
        </w:rPr>
      </w:pPr>
      <w:r>
        <w:rPr>
          <w:rFonts w:hint="eastAsia" w:ascii="宋体" w:hAnsi="宋体"/>
          <w:b/>
          <w:sz w:val="32"/>
          <w:szCs w:val="32"/>
        </w:rPr>
        <w:t>代收代付业务协议书</w:t>
      </w:r>
    </w:p>
    <w:p>
      <w:pPr>
        <w:spacing w:line="360" w:lineRule="exact"/>
        <w:ind w:right="-57" w:rightChars="-27"/>
        <w:jc w:val="center"/>
        <w:rPr>
          <w:rFonts w:ascii="宋体" w:hAnsi="宋体" w:cs="Arial"/>
          <w:color w:val="FF0000"/>
          <w:szCs w:val="21"/>
        </w:rPr>
      </w:pPr>
      <w:r>
        <w:rPr>
          <w:rFonts w:hint="eastAsia" w:ascii="宋体" w:hAnsi="宋体" w:cs="Arial"/>
          <w:sz w:val="24"/>
          <w:szCs w:val="24"/>
        </w:rPr>
        <w:t xml:space="preserve">                                  </w:t>
      </w:r>
      <w:r>
        <w:rPr>
          <w:rFonts w:hint="eastAsia" w:ascii="宋体" w:hAnsi="宋体" w:cs="Arial"/>
          <w:color w:val="FF0000"/>
          <w:szCs w:val="21"/>
        </w:rPr>
        <w:t>合同编号：</w:t>
      </w:r>
    </w:p>
    <w:p>
      <w:pPr>
        <w:spacing w:line="360" w:lineRule="exact"/>
        <w:ind w:right="-57" w:rightChars="-27"/>
        <w:jc w:val="center"/>
        <w:rPr>
          <w:rFonts w:ascii="宋体" w:hAnsi="宋体" w:cs="Arial"/>
          <w:color w:val="FF0000"/>
          <w:szCs w:val="21"/>
        </w:rPr>
      </w:pPr>
      <w:r>
        <w:rPr>
          <w:rFonts w:hint="eastAsia" w:ascii="宋体" w:hAnsi="宋体" w:cs="Arial"/>
          <w:color w:val="FF0000"/>
          <w:szCs w:val="21"/>
        </w:rPr>
        <w:t xml:space="preserve"> </w:t>
      </w:r>
      <w:r>
        <w:rPr>
          <w:rFonts w:ascii="宋体" w:hAnsi="宋体" w:cs="Arial"/>
          <w:color w:val="FF0000"/>
          <w:szCs w:val="21"/>
        </w:rPr>
        <w:t xml:space="preserve">                                               </w:t>
      </w:r>
      <w:r>
        <w:rPr>
          <w:rFonts w:hint="eastAsia" w:ascii="宋体" w:hAnsi="宋体" w:cs="Arial"/>
          <w:color w:val="FF0000"/>
          <w:szCs w:val="21"/>
        </w:rPr>
        <w:t>合同签订地：广州市天河区</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甲方：临沂至航国际贸易有限公司</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地址：山东省临沂市兰山区银雀山街道久隆奥斯卡CBD603</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邮编：276002</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电话：19118244113</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传真：</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乙方：易联支付有限公司</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地址：广州市天河区珠江新城珠江东路28号越秀金融大厦23F</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邮编：</w:t>
      </w:r>
      <w:r>
        <w:rPr>
          <w:rFonts w:ascii="仿宋_GB2312" w:hAnsi="宋体" w:eastAsia="仿宋_GB2312"/>
          <w:szCs w:val="21"/>
        </w:rPr>
        <w:t>510620</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电话：</w:t>
      </w:r>
      <w:r>
        <w:rPr>
          <w:rFonts w:ascii="仿宋_GB2312" w:hAnsi="宋体" w:eastAsia="仿宋_GB2312"/>
          <w:szCs w:val="21"/>
        </w:rPr>
        <w:t>+86</w:t>
      </w:r>
      <w:r>
        <w:rPr>
          <w:rFonts w:hint="eastAsia" w:ascii="仿宋_GB2312" w:hAnsi="宋体" w:eastAsia="仿宋_GB2312"/>
          <w:szCs w:val="21"/>
        </w:rPr>
        <w:t>－</w:t>
      </w:r>
      <w:r>
        <w:rPr>
          <w:rFonts w:ascii="仿宋_GB2312" w:hAnsi="宋体" w:eastAsia="仿宋_GB2312"/>
          <w:szCs w:val="21"/>
        </w:rPr>
        <w:t>20</w:t>
      </w:r>
      <w:r>
        <w:rPr>
          <w:rFonts w:hint="eastAsia" w:ascii="仿宋_GB2312" w:hAnsi="宋体" w:eastAsia="仿宋_GB2312"/>
          <w:szCs w:val="21"/>
        </w:rPr>
        <w:t>－</w:t>
      </w:r>
      <w:r>
        <w:rPr>
          <w:rFonts w:ascii="仿宋_GB2312" w:hAnsi="宋体" w:eastAsia="仿宋_GB2312"/>
          <w:szCs w:val="21"/>
        </w:rPr>
        <w:t>22132700</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传真：</w:t>
      </w:r>
      <w:r>
        <w:rPr>
          <w:rFonts w:ascii="仿宋_GB2312" w:hAnsi="宋体" w:eastAsia="仿宋_GB2312"/>
          <w:szCs w:val="21"/>
        </w:rPr>
        <w:t>+86</w:t>
      </w:r>
      <w:r>
        <w:rPr>
          <w:rFonts w:hint="eastAsia" w:ascii="仿宋_GB2312" w:hAnsi="宋体" w:eastAsia="仿宋_GB2312"/>
          <w:szCs w:val="21"/>
        </w:rPr>
        <w:t>－</w:t>
      </w:r>
      <w:r>
        <w:rPr>
          <w:rFonts w:ascii="仿宋_GB2312" w:hAnsi="宋体" w:eastAsia="仿宋_GB2312"/>
          <w:szCs w:val="21"/>
        </w:rPr>
        <w:t>20</w:t>
      </w:r>
      <w:r>
        <w:rPr>
          <w:rFonts w:hint="eastAsia" w:ascii="仿宋_GB2312" w:hAnsi="宋体" w:eastAsia="仿宋_GB2312"/>
          <w:szCs w:val="21"/>
        </w:rPr>
        <w:t>－</w:t>
      </w:r>
      <w:r>
        <w:rPr>
          <w:rFonts w:ascii="仿宋_GB2312" w:hAnsi="宋体" w:eastAsia="仿宋_GB2312"/>
          <w:szCs w:val="21"/>
        </w:rPr>
        <w:t>22132701</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bookmarkStart w:id="0" w:name="OLE_LINK2"/>
      <w:bookmarkStart w:id="1" w:name="OLE_LINK1"/>
      <w:r>
        <w:rPr>
          <w:rFonts w:hint="eastAsia" w:ascii="仿宋_GB2312" w:hAnsi="宋体" w:eastAsia="仿宋_GB2312"/>
          <w:szCs w:val="21"/>
        </w:rPr>
        <w:t>甲、乙双方（下称“双方”）本着自愿、平等、公平、互利的原则，经充分友好协商，就乙方为甲方提供代收及/或代付服务所涉相关事宜，特达成如下协议，以资共同信守：</w:t>
      </w:r>
    </w:p>
    <w:bookmarkEnd w:id="0"/>
    <w:bookmarkEnd w:id="1"/>
    <w:p>
      <w:pPr>
        <w:rPr>
          <w:rFonts w:ascii="宋体" w:hAnsi="宋体"/>
          <w:szCs w:val="21"/>
        </w:rPr>
      </w:pPr>
    </w:p>
    <w:p>
      <w:pPr>
        <w:pStyle w:val="17"/>
        <w:ind w:right="-57" w:rightChars="-27" w:firstLine="0" w:firstLineChars="0"/>
        <w:jc w:val="left"/>
        <w:rPr>
          <w:rFonts w:ascii="宋体" w:hAnsi="宋体" w:cs="Arial"/>
          <w:b/>
          <w:szCs w:val="21"/>
        </w:rPr>
      </w:pPr>
      <w:r>
        <w:rPr>
          <w:rFonts w:hint="eastAsia" w:ascii="宋体" w:hAnsi="宋体" w:cs="Arial"/>
          <w:b/>
          <w:szCs w:val="21"/>
        </w:rPr>
        <w:t xml:space="preserve">    一、定义</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如无特别说明，下列用语在本协议中的含义为：</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1.1 客户：系指本协议项下甲方提供的代付业务的收款人；或本协议项下甲方提供的代收业务的付款人。</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1.2 相关部门和单位：系指中华人民共和国境内的行政机关、司法机关和经授权进行行政管理的其他部门和单位，以及人民银行、各商业银行、中国银联。</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1.3 相关规定：系指中华人民共和国的法律、法规、规章、条例、政策，相关部门和单位颁布的其他各项规定，以及乙方制定的适用于客户、甲方或其他相关主体的各项规定。</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1.4 异常交易：系指客户或甲方使用乙方提供的本协议项下的服务所进行的，违反相关规定或本协议约定的行为（包括但不限于洗钱、诈骗、涉黄、涉赌、盗卡、伪卡、信用卡套现等交易行为），或无真实交易背景、与真实交易背景不相符的资金支付行为，或交易资料不全、持卡人否认交易或发卡行拒付资金的支付交易行为；或乙方认为或客户、甲方、相关部门和单位或其他第三方向乙方反映可能存有上述情形的行为；或被相关部门和单位调查的行为。</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1.5 差错处理：系指在乙方与商业银行记录或主张的账务信息不符的情况下，所进行的账务核查和账务调整等处理措施。</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1.6 代付金：系指甲方委托乙方代为支付并实际先支付至乙方银行账户内的款项。</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1.7 T日：指乙方受理商户支付业务交易日期。</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1.8 T+N日：指T日后（不包括T日）第</w:t>
      </w:r>
      <w:r>
        <w:rPr>
          <w:rFonts w:ascii="仿宋_GB2312" w:hAnsi="宋体" w:eastAsia="仿宋_GB2312"/>
          <w:szCs w:val="21"/>
        </w:rPr>
        <w:t>N</w:t>
      </w:r>
      <w:r>
        <w:rPr>
          <w:rFonts w:hint="eastAsia" w:ascii="仿宋_GB2312" w:hAnsi="宋体" w:eastAsia="仿宋_GB2312"/>
          <w:szCs w:val="21"/>
        </w:rPr>
        <w:t>个国内法定工作日。</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1.9 乙方损失：系指乙方所遭受的直接和间接损失，包括但不限于乙方的直接损失、预期利益损失以及乙方为实现该项权利所支出的差旅费、评估费、公证费、审计费、鉴定费、律师费、诉讼费等损失。</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1.10 年、月、日：系指日历年、日历月、日历日，但本协议另有特别约定的除外。</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二、合作事项</w:t>
      </w:r>
    </w:p>
    <w:p>
      <w:pPr>
        <w:adjustRightInd w:val="0"/>
        <w:snapToGrid w:val="0"/>
        <w:ind w:firstLine="525" w:firstLineChars="250"/>
        <w:jc w:val="left"/>
        <w:rPr>
          <w:rFonts w:ascii="仿宋_GB2312" w:hAnsi="宋体" w:eastAsia="仿宋_GB2312"/>
          <w:szCs w:val="21"/>
        </w:rPr>
      </w:pPr>
    </w:p>
    <w:p>
      <w:pPr>
        <w:adjustRightInd w:val="0"/>
        <w:snapToGrid w:val="0"/>
        <w:ind w:firstLine="424" w:firstLineChars="202"/>
        <w:jc w:val="left"/>
        <w:rPr>
          <w:rFonts w:ascii="仿宋_GB2312" w:hAnsi="宋体" w:eastAsia="仿宋_GB2312"/>
          <w:szCs w:val="21"/>
        </w:rPr>
      </w:pPr>
      <w:r>
        <w:rPr>
          <w:rFonts w:hint="eastAsia" w:ascii="仿宋_GB2312" w:hAnsi="宋体" w:eastAsia="仿宋_GB2312"/>
          <w:szCs w:val="21"/>
        </w:rPr>
        <w:t>双方同意，根据本协议约定，</w:t>
      </w:r>
      <w:r>
        <w:rPr>
          <w:rFonts w:hint="eastAsia" w:ascii="仿宋_GB2312" w:hAnsi="仿宋" w:eastAsia="仿宋_GB2312"/>
          <w:szCs w:val="21"/>
        </w:rPr>
        <w:t>基于乙方自主研发的易联支付平台,</w:t>
      </w:r>
      <w:r>
        <w:rPr>
          <w:rFonts w:hint="eastAsia" w:ascii="仿宋_GB2312" w:hAnsi="宋体" w:eastAsia="仿宋_GB2312"/>
          <w:szCs w:val="21"/>
        </w:rPr>
        <w:t>就下列第项业务（又称“服务产品”）进行合作：</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 xml:space="preserve">2.1 </w:t>
      </w:r>
      <w:r>
        <w:rPr>
          <w:rFonts w:hint="eastAsia" w:ascii="仿宋_GB2312" w:hAnsi="宋体" w:eastAsia="仿宋_GB2312"/>
          <w:szCs w:val="21"/>
        </w:rPr>
        <w:t>代收业务：系指根据甲方与客户间的合法书面约定，甲方在客户不在现场情形下主动发起交易，乙方根据甲方指令对客户周期性应付款项完成资金收取的业务类型，含对公代扣和对私代扣。</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 xml:space="preserve">2.2 </w:t>
      </w:r>
      <w:r>
        <w:rPr>
          <w:rFonts w:hint="eastAsia" w:ascii="仿宋_GB2312" w:hAnsi="宋体" w:eastAsia="仿宋_GB2312"/>
          <w:szCs w:val="21"/>
        </w:rPr>
        <w:t>代付业务：系指甲方与持卡人间存在合法的支付需求，乙方根据甲方指令从甲方单位结算账户向客户指定银行卡账户进行款项划付的业务。</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三、双方职责</w:t>
      </w:r>
    </w:p>
    <w:p>
      <w:pPr>
        <w:adjustRightInd w:val="0"/>
        <w:snapToGrid w:val="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1甲方职责</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1</w:t>
      </w:r>
      <w:r>
        <w:rPr>
          <w:rFonts w:ascii="仿宋_GB2312" w:hAnsi="宋体" w:eastAsia="仿宋_GB2312"/>
          <w:szCs w:val="21"/>
        </w:rPr>
        <w:t xml:space="preserve">.1 </w:t>
      </w:r>
      <w:r>
        <w:rPr>
          <w:rFonts w:hint="eastAsia" w:ascii="仿宋_GB2312" w:hAnsi="宋体" w:eastAsia="仿宋_GB2312"/>
          <w:szCs w:val="21"/>
        </w:rPr>
        <w:t>于本协议签署时（若乙方另行规定提交期限的，则应在乙方规定的期限内），须向乙方提交经甲方签盖公章的相关资质文件（包括但不限于营业执照、组织机构代码证、税务登记证、法定代表人身份证以及乙方要求甲方提供的其他有效资质及身份证件等）复印件。并在该资料发生变更后10个工作日内书面通知乙方。甲方还应真实、准确、完整地填写《代收代付协议签约表》（详见附件</w:t>
      </w:r>
      <w:r>
        <w:rPr>
          <w:rFonts w:ascii="仿宋_GB2312" w:hAnsi="宋体" w:eastAsia="仿宋_GB2312"/>
          <w:szCs w:val="21"/>
        </w:rPr>
        <w:t>1</w:t>
      </w:r>
      <w:r>
        <w:rPr>
          <w:rFonts w:hint="eastAsia" w:ascii="仿宋_GB2312" w:hAnsi="宋体" w:eastAsia="仿宋_GB2312"/>
          <w:szCs w:val="21"/>
        </w:rPr>
        <w:t>）以及乙方要求填写的其他文件，以配合乙方完成软件接入的相关准备工作。</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1</w:t>
      </w:r>
      <w:r>
        <w:rPr>
          <w:rFonts w:ascii="仿宋_GB2312" w:hAnsi="宋体" w:eastAsia="仿宋_GB2312"/>
          <w:szCs w:val="21"/>
        </w:rPr>
        <w:t xml:space="preserve">.2 </w:t>
      </w:r>
      <w:r>
        <w:rPr>
          <w:rFonts w:hint="eastAsia" w:ascii="仿宋_GB2312" w:hAnsi="宋体" w:eastAsia="仿宋_GB2312"/>
          <w:szCs w:val="21"/>
        </w:rPr>
        <w:t>按照乙方的相关规定，提交代收或代付指令及相关文件，保证所提交信息的真实性、准确性、合法性和完整性，并确保客户的卡号、姓名、有效期、客户委托扣款授权书等信息真实、有效。</w:t>
      </w:r>
    </w:p>
    <w:p>
      <w:pPr>
        <w:adjustRightInd w:val="0"/>
        <w:snapToGrid w:val="0"/>
        <w:ind w:firstLine="527" w:firstLineChars="250"/>
        <w:jc w:val="left"/>
        <w:rPr>
          <w:rFonts w:ascii="仿宋_GB2312" w:hAnsi="宋体" w:eastAsia="仿宋_GB2312"/>
          <w:b/>
          <w:szCs w:val="21"/>
        </w:rPr>
      </w:pPr>
      <w:r>
        <w:rPr>
          <w:rFonts w:ascii="仿宋_GB2312" w:hAnsi="宋体" w:eastAsia="仿宋_GB2312"/>
          <w:b/>
          <w:szCs w:val="21"/>
        </w:rPr>
        <w:t>3.</w:t>
      </w:r>
      <w:r>
        <w:rPr>
          <w:rFonts w:hint="eastAsia" w:ascii="仿宋_GB2312" w:hAnsi="宋体" w:eastAsia="仿宋_GB2312"/>
          <w:b/>
          <w:szCs w:val="21"/>
        </w:rPr>
        <w:t>1</w:t>
      </w:r>
      <w:r>
        <w:rPr>
          <w:rFonts w:ascii="仿宋_GB2312" w:hAnsi="宋体" w:eastAsia="仿宋_GB2312"/>
          <w:b/>
          <w:szCs w:val="21"/>
        </w:rPr>
        <w:t xml:space="preserve">.3 </w:t>
      </w:r>
      <w:r>
        <w:rPr>
          <w:rFonts w:hint="eastAsia" w:ascii="仿宋_GB2312" w:hAnsi="宋体" w:eastAsia="仿宋_GB2312"/>
          <w:b/>
          <w:szCs w:val="21"/>
        </w:rPr>
        <w:t>甲方委托乙方代付的资金用途为              ，代收的资金用途为             。甲方承诺并保证，其委托乙方代付或代收资金的行为、该等资金用途不违反任何相关规定和本协议约定，不涉及任何异常交易</w:t>
      </w:r>
      <w:r>
        <w:rPr>
          <w:rFonts w:ascii="仿宋_GB2312" w:hAnsi="宋体" w:eastAsia="仿宋_GB2312"/>
          <w:b/>
          <w:szCs w:val="21"/>
        </w:rPr>
        <w:t>,</w:t>
      </w:r>
      <w:r>
        <w:rPr>
          <w:rFonts w:hint="eastAsia" w:ascii="仿宋_GB2312" w:hAnsi="宋体" w:eastAsia="仿宋_GB2312"/>
          <w:b/>
          <w:szCs w:val="21"/>
        </w:rPr>
        <w:t>否则由此产生的一切责任均由甲方承担，</w:t>
      </w:r>
      <w:r>
        <w:rPr>
          <w:rFonts w:ascii="仿宋_GB2312" w:hAnsi="宋体" w:eastAsia="仿宋_GB2312"/>
          <w:b/>
          <w:szCs w:val="21"/>
        </w:rPr>
        <w:t>乙方有权</w:t>
      </w:r>
      <w:r>
        <w:rPr>
          <w:rFonts w:hint="eastAsia" w:ascii="仿宋_GB2312" w:hAnsi="宋体" w:eastAsia="仿宋_GB2312"/>
          <w:b/>
          <w:szCs w:val="21"/>
        </w:rPr>
        <w:t>立即</w:t>
      </w:r>
      <w:r>
        <w:rPr>
          <w:rFonts w:ascii="仿宋_GB2312" w:hAnsi="宋体" w:eastAsia="仿宋_GB2312"/>
          <w:b/>
          <w:szCs w:val="21"/>
        </w:rPr>
        <w:t>关闭提供甲方的支付服务</w:t>
      </w:r>
      <w:r>
        <w:rPr>
          <w:rFonts w:hint="eastAsia" w:ascii="仿宋_GB2312" w:hAnsi="宋体" w:eastAsia="仿宋_GB2312"/>
          <w:b/>
          <w:szCs w:val="21"/>
        </w:rPr>
        <w:t>。如给乙方造成损失的，甲方应赔偿乙方的全部损失，且乙方有权从甲方的待结算款项中扣取相应损失。</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1</w:t>
      </w:r>
      <w:r>
        <w:rPr>
          <w:rFonts w:ascii="仿宋_GB2312" w:hAnsi="宋体" w:eastAsia="仿宋_GB2312"/>
          <w:szCs w:val="21"/>
        </w:rPr>
        <w:t xml:space="preserve">.4 </w:t>
      </w:r>
      <w:r>
        <w:rPr>
          <w:rFonts w:hint="eastAsia" w:ascii="仿宋_GB2312" w:hAnsi="宋体" w:eastAsia="仿宋_GB2312"/>
          <w:szCs w:val="21"/>
        </w:rPr>
        <w:t>甲方开通代收</w:t>
      </w:r>
      <w:r>
        <w:rPr>
          <w:rFonts w:ascii="仿宋_GB2312" w:hAnsi="宋体" w:eastAsia="仿宋_GB2312"/>
          <w:szCs w:val="21"/>
        </w:rPr>
        <w:t>/</w:t>
      </w:r>
      <w:r>
        <w:rPr>
          <w:rFonts w:hint="eastAsia" w:ascii="仿宋_GB2312" w:hAnsi="宋体" w:eastAsia="仿宋_GB2312"/>
          <w:szCs w:val="21"/>
        </w:rPr>
        <w:t>代付业务需按乙方规定缴纳保证金，任何情况下甲方不得以有保证金为由，拒绝支付相关费用或承担其在本协议项下的任何义务和责任。</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1</w:t>
      </w:r>
      <w:r>
        <w:rPr>
          <w:rFonts w:ascii="仿宋_GB2312" w:hAnsi="宋体" w:eastAsia="仿宋_GB2312"/>
          <w:szCs w:val="21"/>
        </w:rPr>
        <w:t xml:space="preserve">.5 </w:t>
      </w:r>
      <w:r>
        <w:rPr>
          <w:rFonts w:hint="eastAsia" w:ascii="仿宋_GB2312" w:hAnsi="宋体" w:eastAsia="仿宋_GB2312"/>
          <w:szCs w:val="21"/>
        </w:rPr>
        <w:t>单个客户单笔代付、代收的交易限额应与所涉的甲方相关业务匹配，代付业务单笔交易最高限额为人民币     元，代收业务单笔交易最高限额为人民币           元。</w:t>
      </w:r>
    </w:p>
    <w:p>
      <w:pPr>
        <w:adjustRightInd w:val="0"/>
        <w:snapToGrid w:val="0"/>
        <w:ind w:firstLine="527" w:firstLineChars="250"/>
        <w:jc w:val="left"/>
        <w:rPr>
          <w:rFonts w:ascii="仿宋_GB2312" w:hAnsi="宋体" w:eastAsia="仿宋_GB2312"/>
          <w:b/>
          <w:bCs/>
          <w:szCs w:val="21"/>
        </w:rPr>
      </w:pPr>
      <w:r>
        <w:rPr>
          <w:rFonts w:ascii="仿宋_GB2312" w:hAnsi="宋体" w:eastAsia="仿宋_GB2312"/>
          <w:b/>
          <w:bCs/>
          <w:szCs w:val="21"/>
        </w:rPr>
        <w:t>3.1.6甲方作为交易发起方，应对发送乙方的数据真实性、完整性及准确性负责，对数据负责，并承担交易的风险。</w:t>
      </w:r>
      <w:r>
        <w:rPr>
          <w:rFonts w:hint="eastAsia" w:ascii="仿宋_GB2312" w:hAnsi="宋体" w:eastAsia="仿宋_GB2312"/>
          <w:b/>
          <w:bCs/>
          <w:szCs w:val="21"/>
        </w:rPr>
        <w:t>乙方仅根据甲方发送的代付款数据进行账务处理，不承担其他任何责任。因甲方数据不准确造成收付错误或支付不成功的，由甲方自行承担责任。</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1</w:t>
      </w:r>
      <w:r>
        <w:rPr>
          <w:rFonts w:ascii="仿宋_GB2312" w:hAnsi="宋体" w:eastAsia="仿宋_GB2312"/>
          <w:szCs w:val="21"/>
        </w:rPr>
        <w:t>.7</w:t>
      </w:r>
      <w:r>
        <w:rPr>
          <w:rFonts w:hint="eastAsia" w:ascii="仿宋_GB2312" w:hAnsi="宋体" w:eastAsia="仿宋_GB2312"/>
          <w:szCs w:val="21"/>
        </w:rPr>
        <w:t>甲方必须建立一套稳定的、保密性强的系统，并制定一套完善的信息保密规章制度，保证存储于甲方系统内的银行卡或存折用户信息，如卡号或账号等，不作银行卡或存折持有人书面授权外的其它业务用途或向第三方泄漏。</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1</w:t>
      </w:r>
      <w:r>
        <w:rPr>
          <w:rFonts w:ascii="仿宋_GB2312" w:hAnsi="宋体" w:eastAsia="仿宋_GB2312"/>
          <w:szCs w:val="21"/>
        </w:rPr>
        <w:t>.8</w:t>
      </w:r>
      <w:r>
        <w:rPr>
          <w:rFonts w:hint="eastAsia" w:ascii="仿宋_GB2312" w:hAnsi="宋体" w:eastAsia="仿宋_GB2312"/>
          <w:szCs w:val="21"/>
        </w:rPr>
        <w:t>甲方须根据乙方的交易规范严格执行交易流程，对于使用乙方提供的信用卡代收业务，甲方须确保在乙方同意的行业与业务内使用，并确保为同名交易业务（即信用持卡人与业务/服务购买人及受益使用人为同一人）。</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1</w:t>
      </w:r>
      <w:r>
        <w:rPr>
          <w:rFonts w:ascii="仿宋_GB2312" w:hAnsi="宋体" w:eastAsia="仿宋_GB2312"/>
          <w:szCs w:val="21"/>
        </w:rPr>
        <w:t>.9</w:t>
      </w:r>
      <w:r>
        <w:rPr>
          <w:rFonts w:hint="eastAsia" w:ascii="仿宋_GB2312" w:hAnsi="宋体" w:eastAsia="仿宋_GB2312"/>
          <w:szCs w:val="21"/>
        </w:rPr>
        <w:t>甲方开展代收业务，须获得甲方客户（即持卡人）的合法纸质书面授权，与客户签订“客户委托扣款授权书”，且该授权书应明确客户代收服务类型，以及客户的姓名、身份证号或存折号，如因甲方提供的信息存在合法性、真实性、有效性等问题，或因未征得代收客户本人同意，或因未及时将代收客户信息变动内容以书面形式通知乙方，造成的经济、法律纠纷均由甲方自行承担，如给乙方造成损失的，甲方应赔偿乙方的全部损失，且乙方有权从甲方的待结算款项中扣取相应损失。甲方须在发起交易前按双方协定要求向乙方提供该授权书复印件以及甲方客户身份证复印件和对应银行卡复印件，供乙方业务人员核查。对公代扣的，对公代扣客户另行与乙方签订书面扣款授权协议。</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1</w:t>
      </w:r>
      <w:r>
        <w:rPr>
          <w:rFonts w:ascii="仿宋_GB2312" w:hAnsi="宋体" w:eastAsia="仿宋_GB2312"/>
          <w:szCs w:val="21"/>
        </w:rPr>
        <w:t>.10</w:t>
      </w:r>
      <w:r>
        <w:rPr>
          <w:rFonts w:hint="eastAsia" w:ascii="仿宋_GB2312" w:hAnsi="宋体" w:eastAsia="仿宋_GB2312"/>
          <w:szCs w:val="21"/>
        </w:rPr>
        <w:t>甲方根据自身业务的需要，与乙方采用直联方式进行网络连接，接入乙方业务处理平台，交易数据采用加密加压方式进行传输，并以此作为提起收费交易的合法申请。甲方认可乙方在代理收费业务中采取加密加压安全交易方式的合法性、有效性和安全性。</w:t>
      </w:r>
    </w:p>
    <w:p>
      <w:pPr>
        <w:adjustRightInd w:val="0"/>
        <w:snapToGrid w:val="0"/>
        <w:jc w:val="left"/>
        <w:rPr>
          <w:rFonts w:ascii="仿宋_GB2312" w:hAnsi="宋体" w:eastAsia="仿宋_GB2312"/>
          <w:b/>
          <w:szCs w:val="21"/>
        </w:rPr>
      </w:pPr>
      <w:r>
        <w:rPr>
          <w:rFonts w:hint="eastAsia" w:ascii="仿宋_GB2312" w:hAnsi="宋体" w:eastAsia="仿宋_GB2312"/>
          <w:b/>
          <w:szCs w:val="21"/>
        </w:rPr>
        <w:t xml:space="preserve">     3.1.11</w:t>
      </w:r>
      <w:r>
        <w:rPr>
          <w:rFonts w:hint="eastAsia" w:ascii="仿宋_GB2312" w:hAnsi="宋体" w:eastAsia="仿宋_GB2312"/>
          <w:szCs w:val="21"/>
        </w:rPr>
        <w:t xml:space="preserve"> </w:t>
      </w:r>
      <w:r>
        <w:rPr>
          <w:rFonts w:hint="eastAsia" w:ascii="仿宋_GB2312" w:hAnsi="宋体" w:eastAsia="仿宋_GB2312"/>
          <w:b/>
          <w:szCs w:val="21"/>
        </w:rPr>
        <w:t>甲方承诺合法合规</w:t>
      </w:r>
      <w:r>
        <w:rPr>
          <w:rFonts w:ascii="仿宋_GB2312" w:hAnsi="宋体" w:eastAsia="仿宋_GB2312"/>
          <w:b/>
          <w:szCs w:val="21"/>
        </w:rPr>
        <w:t>妥善使用支付账户，不直接或变相以任何形式</w:t>
      </w:r>
      <w:r>
        <w:rPr>
          <w:rFonts w:hint="eastAsia" w:ascii="仿宋_GB2312" w:hAnsi="宋体" w:eastAsia="仿宋_GB2312"/>
          <w:b/>
          <w:szCs w:val="21"/>
        </w:rPr>
        <w:t>出租、出借、出售、购买其支付账户，也</w:t>
      </w:r>
      <w:r>
        <w:rPr>
          <w:rFonts w:ascii="仿宋_GB2312" w:hAnsi="宋体" w:eastAsia="仿宋_GB2312"/>
          <w:b/>
          <w:szCs w:val="21"/>
        </w:rPr>
        <w:t>不得基于任何非法目的</w:t>
      </w:r>
      <w:r>
        <w:rPr>
          <w:rFonts w:hint="eastAsia" w:ascii="仿宋_GB2312" w:hAnsi="宋体" w:eastAsia="仿宋_GB2312"/>
          <w:b/>
          <w:szCs w:val="21"/>
        </w:rPr>
        <w:t>滥用</w:t>
      </w:r>
      <w:r>
        <w:rPr>
          <w:rFonts w:ascii="仿宋_GB2312" w:hAnsi="宋体" w:eastAsia="仿宋_GB2312"/>
          <w:b/>
          <w:szCs w:val="21"/>
        </w:rPr>
        <w:t>、冒用</w:t>
      </w:r>
      <w:r>
        <w:rPr>
          <w:rFonts w:hint="eastAsia" w:ascii="仿宋_GB2312" w:hAnsi="宋体" w:eastAsia="仿宋_GB2312"/>
          <w:b/>
          <w:szCs w:val="21"/>
        </w:rPr>
        <w:t>、授权</w:t>
      </w:r>
      <w:r>
        <w:rPr>
          <w:rFonts w:ascii="仿宋_GB2312" w:hAnsi="宋体" w:eastAsia="仿宋_GB2312"/>
          <w:b/>
          <w:szCs w:val="21"/>
        </w:rPr>
        <w:t>、误导</w:t>
      </w:r>
      <w:r>
        <w:rPr>
          <w:rFonts w:hint="eastAsia" w:ascii="仿宋_GB2312" w:hAnsi="宋体" w:eastAsia="仿宋_GB2312"/>
          <w:b/>
          <w:szCs w:val="21"/>
        </w:rPr>
        <w:t>使用</w:t>
      </w:r>
      <w:r>
        <w:rPr>
          <w:rFonts w:ascii="仿宋_GB2312" w:hAnsi="宋体" w:eastAsia="仿宋_GB2312"/>
          <w:b/>
          <w:szCs w:val="21"/>
        </w:rPr>
        <w:t>乙方技术接口</w:t>
      </w:r>
      <w:r>
        <w:rPr>
          <w:rFonts w:hint="eastAsia" w:ascii="仿宋_GB2312" w:hAnsi="宋体" w:eastAsia="仿宋_GB2312"/>
          <w:b/>
          <w:szCs w:val="21"/>
        </w:rPr>
        <w:t>。</w:t>
      </w:r>
      <w:r>
        <w:rPr>
          <w:rFonts w:ascii="仿宋_GB2312" w:hAnsi="宋体" w:eastAsia="仿宋_GB2312"/>
          <w:b/>
          <w:szCs w:val="21"/>
        </w:rPr>
        <w:t>甲方</w:t>
      </w:r>
      <w:r>
        <w:rPr>
          <w:rFonts w:hint="eastAsia" w:ascii="仿宋_GB2312" w:hAnsi="宋体" w:eastAsia="仿宋_GB2312"/>
          <w:b/>
          <w:szCs w:val="21"/>
        </w:rPr>
        <w:t>作为</w:t>
      </w:r>
      <w:r>
        <w:rPr>
          <w:rFonts w:ascii="仿宋_GB2312" w:hAnsi="宋体" w:eastAsia="仿宋_GB2312"/>
          <w:b/>
          <w:szCs w:val="21"/>
        </w:rPr>
        <w:t>乙方</w:t>
      </w:r>
      <w:r>
        <w:rPr>
          <w:rFonts w:hint="eastAsia" w:ascii="仿宋_GB2312" w:hAnsi="宋体" w:eastAsia="仿宋_GB2312"/>
          <w:b/>
          <w:szCs w:val="21"/>
        </w:rPr>
        <w:t>于</w:t>
      </w:r>
      <w:r>
        <w:rPr>
          <w:rFonts w:ascii="仿宋_GB2312" w:hAnsi="宋体" w:eastAsia="仿宋_GB2312"/>
          <w:b/>
          <w:szCs w:val="21"/>
        </w:rPr>
        <w:t>本协议项下</w:t>
      </w:r>
      <w:r>
        <w:rPr>
          <w:rFonts w:hint="eastAsia" w:ascii="仿宋_GB2312" w:hAnsi="宋体" w:eastAsia="仿宋_GB2312"/>
          <w:b/>
          <w:szCs w:val="21"/>
        </w:rPr>
        <w:t>唯一</w:t>
      </w:r>
      <w:r>
        <w:rPr>
          <w:rFonts w:ascii="仿宋_GB2312" w:hAnsi="宋体" w:eastAsia="仿宋_GB2312"/>
          <w:b/>
          <w:szCs w:val="21"/>
        </w:rPr>
        <w:t>指定的</w:t>
      </w:r>
      <w:r>
        <w:rPr>
          <w:rFonts w:hint="eastAsia" w:ascii="仿宋_GB2312" w:hAnsi="宋体" w:eastAsia="仿宋_GB2312"/>
          <w:b/>
          <w:szCs w:val="21"/>
        </w:rPr>
        <w:t>相对方</w:t>
      </w:r>
      <w:r>
        <w:rPr>
          <w:rFonts w:ascii="仿宋_GB2312" w:hAnsi="宋体" w:eastAsia="仿宋_GB2312"/>
          <w:b/>
          <w:szCs w:val="21"/>
        </w:rPr>
        <w:t>，不得利用乙方提供</w:t>
      </w:r>
      <w:r>
        <w:rPr>
          <w:rFonts w:hint="eastAsia" w:ascii="仿宋_GB2312" w:hAnsi="宋体" w:eastAsia="仿宋_GB2312"/>
          <w:b/>
          <w:szCs w:val="21"/>
        </w:rPr>
        <w:t>的</w:t>
      </w:r>
      <w:r>
        <w:rPr>
          <w:rFonts w:ascii="仿宋_GB2312" w:hAnsi="宋体" w:eastAsia="仿宋_GB2312"/>
          <w:b/>
          <w:szCs w:val="21"/>
        </w:rPr>
        <w:t>服务为任何第三方提供再服务。如</w:t>
      </w:r>
      <w:r>
        <w:rPr>
          <w:rFonts w:hint="eastAsia" w:ascii="仿宋_GB2312" w:hAnsi="宋体" w:eastAsia="仿宋_GB2312"/>
          <w:b/>
          <w:szCs w:val="21"/>
        </w:rPr>
        <w:t>违反</w:t>
      </w:r>
      <w:r>
        <w:rPr>
          <w:rFonts w:ascii="仿宋_GB2312" w:hAnsi="宋体" w:eastAsia="仿宋_GB2312"/>
          <w:b/>
          <w:szCs w:val="21"/>
        </w:rPr>
        <w:t>上述规定的，乙方有权采取包括但不限于冻结</w:t>
      </w:r>
      <w:r>
        <w:rPr>
          <w:rFonts w:hint="eastAsia" w:ascii="仿宋_GB2312" w:hAnsi="宋体" w:eastAsia="仿宋_GB2312"/>
          <w:b/>
          <w:szCs w:val="21"/>
        </w:rPr>
        <w:t>甲方</w:t>
      </w:r>
      <w:r>
        <w:rPr>
          <w:rFonts w:ascii="仿宋_GB2312" w:hAnsi="宋体" w:eastAsia="仿宋_GB2312"/>
          <w:b/>
          <w:szCs w:val="21"/>
        </w:rPr>
        <w:t>支付账户、暂停支付服务等途径</w:t>
      </w:r>
      <w:r>
        <w:rPr>
          <w:rFonts w:hint="eastAsia" w:ascii="仿宋_GB2312" w:hAnsi="宋体" w:eastAsia="仿宋_GB2312"/>
          <w:b/>
          <w:szCs w:val="21"/>
        </w:rPr>
        <w:t>维护自身</w:t>
      </w:r>
      <w:r>
        <w:rPr>
          <w:rFonts w:ascii="仿宋_GB2312" w:hAnsi="宋体" w:eastAsia="仿宋_GB2312"/>
          <w:b/>
          <w:szCs w:val="21"/>
        </w:rPr>
        <w:t>权益，</w:t>
      </w:r>
      <w:r>
        <w:rPr>
          <w:rFonts w:hint="eastAsia" w:ascii="仿宋_GB2312" w:hAnsi="宋体" w:eastAsia="仿宋_GB2312"/>
          <w:b/>
          <w:szCs w:val="21"/>
        </w:rPr>
        <w:t>并</w:t>
      </w:r>
      <w:r>
        <w:rPr>
          <w:rFonts w:ascii="仿宋_GB2312" w:hAnsi="宋体" w:eastAsia="仿宋_GB2312"/>
          <w:b/>
          <w:szCs w:val="21"/>
        </w:rPr>
        <w:t>有权</w:t>
      </w:r>
      <w:r>
        <w:rPr>
          <w:rFonts w:hint="eastAsia" w:ascii="仿宋_GB2312" w:hAnsi="宋体" w:eastAsia="仿宋_GB2312"/>
          <w:b/>
          <w:szCs w:val="21"/>
        </w:rPr>
        <w:t>追究</w:t>
      </w:r>
      <w:r>
        <w:rPr>
          <w:rFonts w:ascii="仿宋_GB2312" w:hAnsi="宋体" w:eastAsia="仿宋_GB2312"/>
          <w:b/>
          <w:szCs w:val="21"/>
        </w:rPr>
        <w:t>甲方</w:t>
      </w:r>
      <w:r>
        <w:rPr>
          <w:rFonts w:hint="eastAsia" w:ascii="仿宋_GB2312" w:hAnsi="宋体" w:eastAsia="仿宋_GB2312"/>
          <w:b/>
          <w:szCs w:val="21"/>
        </w:rPr>
        <w:t>造成</w:t>
      </w:r>
      <w:r>
        <w:rPr>
          <w:rFonts w:ascii="仿宋_GB2312" w:hAnsi="宋体" w:eastAsia="仿宋_GB2312"/>
          <w:b/>
          <w:szCs w:val="21"/>
        </w:rPr>
        <w:t>的直接</w:t>
      </w:r>
      <w:r>
        <w:rPr>
          <w:rFonts w:hint="eastAsia" w:ascii="仿宋_GB2312" w:hAnsi="宋体" w:eastAsia="仿宋_GB2312"/>
          <w:b/>
          <w:szCs w:val="21"/>
        </w:rPr>
        <w:t>经济损失</w:t>
      </w:r>
      <w:r>
        <w:rPr>
          <w:rFonts w:ascii="仿宋_GB2312" w:hAnsi="宋体" w:eastAsia="仿宋_GB2312"/>
          <w:b/>
          <w:szCs w:val="21"/>
        </w:rPr>
        <w:t>。</w:t>
      </w:r>
    </w:p>
    <w:p>
      <w:pPr>
        <w:adjustRightInd w:val="0"/>
        <w:snapToGrid w:val="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2乙方职责</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2</w:t>
      </w:r>
      <w:r>
        <w:rPr>
          <w:rFonts w:ascii="仿宋_GB2312" w:hAnsi="宋体" w:eastAsia="仿宋_GB2312"/>
          <w:szCs w:val="21"/>
        </w:rPr>
        <w:t xml:space="preserve">.1 </w:t>
      </w:r>
      <w:r>
        <w:rPr>
          <w:rFonts w:hint="eastAsia" w:ascii="仿宋_GB2312" w:hAnsi="宋体" w:eastAsia="仿宋_GB2312"/>
          <w:szCs w:val="21"/>
        </w:rPr>
        <w:t>开展代付业务时，通过乙方的代付平台系统，为甲方提供代付服务，从而实现将甲方要求的指定用途资金支付到甲方指定的客户银行账户中；开展代收业务时，通过乙方的代收平台系统，为甲方提供代收服务，在甲方已合法取得客户（即持卡人）授权的前提下，按照甲方发出的收款电子指令及客户授权，从指定的客户银行账户中扣收应收款项，并将上述款项结算至甲方指定的企业账户中。</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2</w:t>
      </w:r>
      <w:r>
        <w:rPr>
          <w:rFonts w:ascii="仿宋_GB2312" w:hAnsi="宋体" w:eastAsia="仿宋_GB2312"/>
          <w:szCs w:val="21"/>
        </w:rPr>
        <w:t xml:space="preserve">.2 </w:t>
      </w:r>
      <w:r>
        <w:rPr>
          <w:rFonts w:hint="eastAsia" w:ascii="仿宋_GB2312" w:hAnsi="宋体" w:eastAsia="仿宋_GB2312"/>
          <w:szCs w:val="21"/>
        </w:rPr>
        <w:t>通常情况下，乙方代收或代付平台系统所能支持的卡种</w:t>
      </w:r>
      <w:r>
        <w:rPr>
          <w:rFonts w:ascii="仿宋_GB2312" w:hAnsi="宋体" w:eastAsia="仿宋_GB2312"/>
          <w:szCs w:val="21"/>
        </w:rPr>
        <w:t>,</w:t>
      </w:r>
      <w:r>
        <w:rPr>
          <w:rFonts w:hint="eastAsia" w:ascii="仿宋_GB2312" w:hAnsi="宋体" w:eastAsia="仿宋_GB2312"/>
          <w:szCs w:val="21"/>
        </w:rPr>
        <w:t>在甲方符合相关规定的开通条件时，尽可能为甲方开通；已开通的卡种，如因不可抗力或依据相关规定或发卡行的原因停止开通的，乙方不承担任何责任。</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2</w:t>
      </w:r>
      <w:r>
        <w:rPr>
          <w:rFonts w:ascii="仿宋_GB2312" w:hAnsi="宋体" w:eastAsia="仿宋_GB2312"/>
          <w:szCs w:val="21"/>
        </w:rPr>
        <w:t xml:space="preserve">.3 </w:t>
      </w:r>
      <w:r>
        <w:rPr>
          <w:rFonts w:hint="eastAsia" w:ascii="仿宋_GB2312" w:hAnsi="宋体" w:eastAsia="仿宋_GB2312"/>
          <w:szCs w:val="21"/>
        </w:rPr>
        <w:t>在甲方要求时，为甲方提供乙方处留存的、自该笔交易发生之日起</w:t>
      </w:r>
      <w:r>
        <w:rPr>
          <w:rFonts w:ascii="仿宋_GB2312" w:hAnsi="宋体" w:eastAsia="仿宋_GB2312"/>
          <w:szCs w:val="21"/>
        </w:rPr>
        <w:t>12</w:t>
      </w:r>
      <w:r>
        <w:rPr>
          <w:rFonts w:hint="eastAsia" w:ascii="仿宋_GB2312" w:hAnsi="宋体" w:eastAsia="仿宋_GB2312"/>
          <w:szCs w:val="21"/>
        </w:rPr>
        <w:t>个月内的相关对账、交易明细流水和划账通知文件。</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2</w:t>
      </w:r>
      <w:r>
        <w:rPr>
          <w:rFonts w:ascii="仿宋_GB2312" w:hAnsi="宋体" w:eastAsia="仿宋_GB2312"/>
          <w:szCs w:val="21"/>
        </w:rPr>
        <w:t>.</w:t>
      </w:r>
      <w:r>
        <w:rPr>
          <w:rFonts w:hint="eastAsia" w:ascii="仿宋_GB2312" w:hAnsi="宋体" w:eastAsia="仿宋_GB2312"/>
          <w:szCs w:val="21"/>
        </w:rPr>
        <w:t>4</w:t>
      </w:r>
      <w:r>
        <w:rPr>
          <w:rFonts w:ascii="仿宋_GB2312" w:hAnsi="宋体" w:eastAsia="仿宋_GB2312"/>
          <w:szCs w:val="21"/>
        </w:rPr>
        <w:t xml:space="preserve"> </w:t>
      </w:r>
      <w:r>
        <w:rPr>
          <w:rFonts w:hint="eastAsia" w:ascii="仿宋_GB2312" w:hAnsi="宋体" w:eastAsia="仿宋_GB2312"/>
          <w:szCs w:val="21"/>
        </w:rPr>
        <w:t>开展代付业务中，乙方指定的清算账户收到甲方划入的足额代付金后，根据甲方发送的代付款数据向甲方指定的个人或者企业账户进行转账付款。开展代收业务中，乙方在收到甲方提交的符合条件的主动收款电子指令后，按照指令扣收客户银行账户中的款项。如遇银行的原因无法在指令期限内支付或扣划款项的，则支付或扣款的时间相应顺延。</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2</w:t>
      </w:r>
      <w:r>
        <w:rPr>
          <w:rFonts w:ascii="仿宋_GB2312" w:hAnsi="宋体" w:eastAsia="仿宋_GB2312"/>
          <w:szCs w:val="21"/>
        </w:rPr>
        <w:t>.</w:t>
      </w:r>
      <w:r>
        <w:rPr>
          <w:rFonts w:hint="eastAsia" w:ascii="仿宋_GB2312" w:hAnsi="宋体" w:eastAsia="仿宋_GB2312"/>
          <w:szCs w:val="21"/>
        </w:rPr>
        <w:t>5</w:t>
      </w:r>
      <w:r>
        <w:rPr>
          <w:rFonts w:ascii="仿宋_GB2312" w:hAnsi="宋体" w:eastAsia="仿宋_GB2312"/>
          <w:szCs w:val="21"/>
        </w:rPr>
        <w:t xml:space="preserve"> </w:t>
      </w:r>
      <w:r>
        <w:rPr>
          <w:rFonts w:hint="eastAsia" w:ascii="仿宋_GB2312" w:hAnsi="宋体" w:eastAsia="仿宋_GB2312"/>
          <w:szCs w:val="21"/>
        </w:rPr>
        <w:t>经甲方申请，按乙方的相关规定提供重汇或退款服务；开展代收业务中，退款请求由甲方提出；在乙方确认甲方未结算资金足额（即未结算资金扣除甲方应支付的各项款项后的余额不少于退款金额）或甲方将退款资金全额汇入本协议第</w:t>
      </w:r>
      <w:r>
        <w:rPr>
          <w:rFonts w:ascii="仿宋_GB2312" w:hAnsi="宋体" w:eastAsia="仿宋_GB2312"/>
          <w:szCs w:val="21"/>
        </w:rPr>
        <w:t>5.8.</w:t>
      </w:r>
      <w:r>
        <w:rPr>
          <w:rFonts w:hint="eastAsia" w:ascii="仿宋_GB2312" w:hAnsi="宋体" w:eastAsia="仿宋_GB2312"/>
          <w:szCs w:val="21"/>
        </w:rPr>
        <w:t>3条约定的乙方银行账户后，乙方依甲方要求进行退款；已收取的该笔退款所涉的技术服务手续费，乙方不予退还，并按代付费率收取退款手续费。开展代付业务中，甲方申请重汇的，如系乙方过错，就该笔资金的重汇，乙方不再向甲方收取技术服务手续费，否则乙方仍将收取技术服务手续费。</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2</w:t>
      </w:r>
      <w:r>
        <w:rPr>
          <w:rFonts w:ascii="仿宋_GB2312" w:hAnsi="宋体" w:eastAsia="仿宋_GB2312"/>
          <w:szCs w:val="21"/>
        </w:rPr>
        <w:t>.</w:t>
      </w:r>
      <w:r>
        <w:rPr>
          <w:rFonts w:hint="eastAsia" w:ascii="仿宋_GB2312" w:hAnsi="宋体" w:eastAsia="仿宋_GB2312"/>
          <w:szCs w:val="21"/>
        </w:rPr>
        <w:t>6</w:t>
      </w:r>
      <w:r>
        <w:rPr>
          <w:rFonts w:ascii="仿宋_GB2312" w:hAnsi="宋体" w:eastAsia="仿宋_GB2312"/>
          <w:szCs w:val="21"/>
        </w:rPr>
        <w:t xml:space="preserve"> </w:t>
      </w:r>
      <w:r>
        <w:rPr>
          <w:rFonts w:hint="eastAsia" w:ascii="仿宋_GB2312" w:hAnsi="宋体" w:eastAsia="仿宋_GB2312"/>
          <w:szCs w:val="21"/>
        </w:rPr>
        <w:t>负责差错处理工作；向甲方提供对账服务，资金清算以乙方成功清算的数据为准。</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2</w:t>
      </w:r>
      <w:r>
        <w:rPr>
          <w:rFonts w:ascii="仿宋_GB2312" w:hAnsi="宋体" w:eastAsia="仿宋_GB2312"/>
          <w:szCs w:val="21"/>
        </w:rPr>
        <w:t>.</w:t>
      </w:r>
      <w:r>
        <w:rPr>
          <w:rFonts w:hint="eastAsia" w:ascii="仿宋_GB2312" w:hAnsi="宋体" w:eastAsia="仿宋_GB2312"/>
          <w:szCs w:val="21"/>
        </w:rPr>
        <w:t>7</w:t>
      </w:r>
      <w:r>
        <w:rPr>
          <w:rFonts w:ascii="仿宋_GB2312" w:hAnsi="宋体" w:eastAsia="仿宋_GB2312"/>
          <w:szCs w:val="21"/>
        </w:rPr>
        <w:t xml:space="preserve"> </w:t>
      </w:r>
      <w:r>
        <w:rPr>
          <w:rFonts w:hint="eastAsia" w:ascii="仿宋_GB2312" w:hAnsi="宋体" w:eastAsia="仿宋_GB2312"/>
          <w:szCs w:val="21"/>
        </w:rPr>
        <w:t>代收业务中，乙方在全额收到本协议约定的前期费用（含交易手续费用）后，为甲方进行结算（开始为甲方结算资金）。</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3.</w:t>
      </w:r>
      <w:r>
        <w:rPr>
          <w:rFonts w:hint="eastAsia" w:ascii="仿宋_GB2312" w:hAnsi="宋体" w:eastAsia="仿宋_GB2312"/>
          <w:szCs w:val="21"/>
        </w:rPr>
        <w:t>2</w:t>
      </w:r>
      <w:r>
        <w:rPr>
          <w:rFonts w:ascii="仿宋_GB2312" w:hAnsi="宋体" w:eastAsia="仿宋_GB2312"/>
          <w:szCs w:val="21"/>
        </w:rPr>
        <w:t>.</w:t>
      </w:r>
      <w:r>
        <w:rPr>
          <w:rFonts w:hint="eastAsia" w:ascii="仿宋_GB2312" w:hAnsi="宋体" w:eastAsia="仿宋_GB2312"/>
          <w:szCs w:val="21"/>
        </w:rPr>
        <w:t>8乙方有权审核甲方网上代收</w:t>
      </w:r>
      <w:r>
        <w:rPr>
          <w:rFonts w:ascii="仿宋_GB2312" w:hAnsi="宋体" w:eastAsia="仿宋_GB2312"/>
          <w:szCs w:val="21"/>
        </w:rPr>
        <w:t>/</w:t>
      </w:r>
      <w:r>
        <w:rPr>
          <w:rFonts w:hint="eastAsia" w:ascii="仿宋_GB2312" w:hAnsi="宋体" w:eastAsia="仿宋_GB2312"/>
          <w:szCs w:val="21"/>
        </w:rPr>
        <w:t>代付业务的业务用途，对不符合人民银行支付结算办法、反洗钱管理条例及其他制度规定的业务，乙方有权拒绝执行操作并有权采用一切合法手段追究甲方的经济、法律责任。</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四、双方权利义务</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4.</w:t>
      </w:r>
      <w:r>
        <w:rPr>
          <w:rFonts w:hint="eastAsia" w:ascii="仿宋_GB2312" w:hAnsi="宋体" w:eastAsia="仿宋_GB2312"/>
          <w:szCs w:val="21"/>
        </w:rPr>
        <w:t>1甲方的权利义务</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4.</w:t>
      </w:r>
      <w:r>
        <w:rPr>
          <w:rFonts w:hint="eastAsia" w:ascii="仿宋_GB2312" w:hAnsi="宋体" w:eastAsia="仿宋_GB2312"/>
          <w:szCs w:val="21"/>
        </w:rPr>
        <w:t>1</w:t>
      </w:r>
      <w:r>
        <w:rPr>
          <w:rFonts w:ascii="仿宋_GB2312" w:hAnsi="宋体" w:eastAsia="仿宋_GB2312"/>
          <w:szCs w:val="21"/>
        </w:rPr>
        <w:t xml:space="preserve">.1 </w:t>
      </w:r>
      <w:r>
        <w:rPr>
          <w:rFonts w:hint="eastAsia" w:ascii="仿宋_GB2312" w:hAnsi="宋体" w:eastAsia="仿宋_GB2312"/>
          <w:szCs w:val="21"/>
        </w:rPr>
        <w:t>保证其所提供的资质文件及其在本协议签订和履行过程中所提供的信息及文件资料等均真实、准确、完整、有效；若有任何变更，则甲方应在该等变更情形发生次日即通知乙方，并同时将变更后的文件资料交付乙方。</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4.</w:t>
      </w:r>
      <w:r>
        <w:rPr>
          <w:rFonts w:hint="eastAsia" w:ascii="仿宋_GB2312" w:hAnsi="宋体" w:eastAsia="仿宋_GB2312"/>
          <w:szCs w:val="21"/>
        </w:rPr>
        <w:t>1</w:t>
      </w:r>
      <w:r>
        <w:rPr>
          <w:rFonts w:ascii="仿宋_GB2312" w:hAnsi="宋体" w:eastAsia="仿宋_GB2312"/>
          <w:szCs w:val="21"/>
        </w:rPr>
        <w:t xml:space="preserve">.2 </w:t>
      </w:r>
      <w:r>
        <w:rPr>
          <w:rFonts w:hint="eastAsia" w:ascii="仿宋_GB2312" w:hAnsi="宋体" w:eastAsia="仿宋_GB2312"/>
          <w:szCs w:val="21"/>
        </w:rPr>
        <w:t>负责位于其端的系统维护和安全工作，采用完善、有效的监控手段，保证能及时、准确、真实地向乙方传送或接收乙方传送的数据等信息。</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4.</w:t>
      </w:r>
      <w:r>
        <w:rPr>
          <w:rFonts w:hint="eastAsia" w:ascii="仿宋_GB2312" w:hAnsi="宋体" w:eastAsia="仿宋_GB2312"/>
          <w:szCs w:val="21"/>
        </w:rPr>
        <w:t>1</w:t>
      </w:r>
      <w:r>
        <w:rPr>
          <w:rFonts w:ascii="仿宋_GB2312" w:hAnsi="宋体" w:eastAsia="仿宋_GB2312"/>
          <w:szCs w:val="21"/>
        </w:rPr>
        <w:t xml:space="preserve">.3 </w:t>
      </w:r>
      <w:r>
        <w:rPr>
          <w:rFonts w:hint="eastAsia" w:ascii="仿宋_GB2312" w:hAnsi="宋体" w:eastAsia="仿宋_GB2312"/>
          <w:szCs w:val="21"/>
        </w:rPr>
        <w:t>甲方应按约履行与客户间的相关协议，严格遵循相关规定，</w:t>
      </w:r>
      <w:r>
        <w:rPr>
          <w:rFonts w:hint="eastAsia" w:ascii="仿宋_GB2312" w:hAnsi="宋体" w:eastAsia="仿宋_GB2312"/>
          <w:b/>
          <w:szCs w:val="21"/>
        </w:rPr>
        <w:t>不得直接或变相从事、开展、经营：套现、洗钱、诈骗等经营活动，互联网赌博、色情平台，互联网销售彩票平台，非法外汇、贵金属投资交易平台，非法证券期货类交易平台，代币发行融资及虚拟货币交易平台，也不得未经监管部门批准通过互联网开展资产管理业务以及未取得省级政府批文的大宗商品交易场所等所有非法交易，否则乙方有权终止提供服务并单方终止本协议，冻结账户结算资金，由此产生的一切责任由甲方自行承担。</w:t>
      </w:r>
      <w:r>
        <w:rPr>
          <w:rFonts w:hint="eastAsia" w:ascii="仿宋_GB2312" w:hAnsi="仿宋" w:eastAsia="仿宋_GB2312"/>
          <w:b/>
          <w:szCs w:val="21"/>
        </w:rPr>
        <w:t>如因甲方的上述行为</w:t>
      </w:r>
      <w:r>
        <w:rPr>
          <w:rFonts w:hint="eastAsia" w:ascii="仿宋_GB2312" w:hAnsi="宋体" w:eastAsia="仿宋_GB2312"/>
          <w:b/>
          <w:szCs w:val="21"/>
        </w:rPr>
        <w:t>造成乙方损失的，甲方应赔偿乙方的全部损失。</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4.</w:t>
      </w:r>
      <w:r>
        <w:rPr>
          <w:rFonts w:hint="eastAsia" w:ascii="仿宋_GB2312" w:hAnsi="宋体" w:eastAsia="仿宋_GB2312"/>
          <w:szCs w:val="21"/>
        </w:rPr>
        <w:t>1</w:t>
      </w:r>
      <w:r>
        <w:rPr>
          <w:rFonts w:ascii="仿宋_GB2312" w:hAnsi="宋体" w:eastAsia="仿宋_GB2312"/>
          <w:szCs w:val="21"/>
        </w:rPr>
        <w:t>.4</w:t>
      </w:r>
      <w:r>
        <w:rPr>
          <w:rFonts w:hint="eastAsia" w:ascii="仿宋_GB2312" w:hAnsi="宋体" w:eastAsia="仿宋_GB2312"/>
          <w:szCs w:val="21"/>
        </w:rPr>
        <w:t>甲方应妥善保管其与持卡人客户间交易的交易凭证，保管期限自交易完成之日起计不少于3年。</w:t>
      </w:r>
      <w:r>
        <w:rPr>
          <w:rFonts w:hint="eastAsia" w:ascii="仿宋_GB2312" w:hAnsi="宋体" w:eastAsia="仿宋_GB2312"/>
          <w:b/>
          <w:szCs w:val="21"/>
        </w:rPr>
        <w:t>若发生任何异常交易，或甲方或客户违反相关规定或本协议约定的其他情形的</w:t>
      </w:r>
      <w:r>
        <w:rPr>
          <w:rFonts w:ascii="仿宋_GB2312" w:hAnsi="宋体" w:eastAsia="仿宋_GB2312"/>
          <w:b/>
          <w:szCs w:val="21"/>
        </w:rPr>
        <w:t>,</w:t>
      </w:r>
      <w:r>
        <w:rPr>
          <w:rFonts w:hint="eastAsia" w:ascii="仿宋_GB2312" w:hAnsi="宋体" w:eastAsia="仿宋_GB2312"/>
          <w:b/>
          <w:szCs w:val="21"/>
        </w:rPr>
        <w:t>甲方有义务向乙方主动通报，并配合乙方调查，在乙方规定的期限内提供乙方要求的相关资料，包括但不限于相关交易所涉的购货凭证、收</w:t>
      </w:r>
      <w:r>
        <w:rPr>
          <w:rFonts w:ascii="仿宋_GB2312" w:hAnsi="宋体" w:eastAsia="仿宋_GB2312"/>
          <w:b/>
          <w:szCs w:val="21"/>
        </w:rPr>
        <w:t>/</w:t>
      </w:r>
      <w:r>
        <w:rPr>
          <w:rFonts w:hint="eastAsia" w:ascii="仿宋_GB2312" w:hAnsi="宋体" w:eastAsia="仿宋_GB2312"/>
          <w:b/>
          <w:szCs w:val="21"/>
        </w:rPr>
        <w:t>送货凭证或服务凭证、发票、银行卡签购单、授权书以及证明该等交易合法的其他相关凭证。</w:t>
      </w:r>
    </w:p>
    <w:p>
      <w:pPr>
        <w:adjustRightInd w:val="0"/>
        <w:snapToGrid w:val="0"/>
        <w:ind w:firstLine="527" w:firstLineChars="250"/>
        <w:jc w:val="left"/>
        <w:rPr>
          <w:rFonts w:ascii="仿宋_GB2312" w:hAnsi="宋体" w:eastAsia="仿宋_GB2312"/>
          <w:b/>
          <w:szCs w:val="21"/>
        </w:rPr>
      </w:pPr>
      <w:r>
        <w:rPr>
          <w:rFonts w:ascii="仿宋_GB2312" w:hAnsi="宋体" w:eastAsia="仿宋_GB2312"/>
          <w:b/>
          <w:szCs w:val="21"/>
        </w:rPr>
        <w:t>4.</w:t>
      </w:r>
      <w:r>
        <w:rPr>
          <w:rFonts w:hint="eastAsia" w:ascii="仿宋_GB2312" w:hAnsi="宋体" w:eastAsia="仿宋_GB2312"/>
          <w:b/>
          <w:szCs w:val="21"/>
        </w:rPr>
        <w:t>1</w:t>
      </w:r>
      <w:r>
        <w:rPr>
          <w:rFonts w:ascii="仿宋_GB2312" w:hAnsi="宋体" w:eastAsia="仿宋_GB2312"/>
          <w:b/>
          <w:szCs w:val="21"/>
        </w:rPr>
        <w:t>.5</w:t>
      </w:r>
      <w:r>
        <w:rPr>
          <w:rFonts w:hint="eastAsia" w:ascii="仿宋_GB2312" w:hAnsi="宋体" w:eastAsia="仿宋_GB2312"/>
          <w:b/>
          <w:szCs w:val="21"/>
        </w:rPr>
        <w:t>甲方保证在约定范围与行业内使用乙方提供的支付服务，且其使用该服务的营业符合国家法律法规要求；未经乙方书面同意，甲方不得使用乙方提供的服务开展非本协议范围的业务或向非本协议范围的其他方提供支付接口，</w:t>
      </w:r>
      <w:r>
        <w:rPr>
          <w:rFonts w:ascii="仿宋_GB2312" w:hAnsi="宋体" w:eastAsia="仿宋_GB2312"/>
          <w:b/>
          <w:szCs w:val="21"/>
        </w:rPr>
        <w:t>不得将其在本协议项下的任何权利或义务转让或委托第三方实施</w:t>
      </w:r>
      <w:r>
        <w:rPr>
          <w:rFonts w:hint="eastAsia" w:ascii="仿宋_GB2312" w:hAnsi="宋体" w:eastAsia="仿宋_GB2312"/>
          <w:b/>
          <w:szCs w:val="21"/>
        </w:rPr>
        <w:t>。否则，乙方有权终止提供服务并单方终止本协议，冻结账户结算资金，由此产生的一切责任由甲方自行承担。如因甲方的上述行为造成乙方损失的，甲方应赔偿乙方的全部损失。</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4.</w:t>
      </w:r>
      <w:r>
        <w:rPr>
          <w:rFonts w:hint="eastAsia" w:ascii="仿宋_GB2312" w:hAnsi="宋体" w:eastAsia="仿宋_GB2312"/>
          <w:szCs w:val="21"/>
        </w:rPr>
        <w:t>1</w:t>
      </w:r>
      <w:r>
        <w:rPr>
          <w:rFonts w:ascii="仿宋_GB2312" w:hAnsi="宋体" w:eastAsia="仿宋_GB2312"/>
          <w:szCs w:val="21"/>
        </w:rPr>
        <w:t xml:space="preserve">.6 </w:t>
      </w:r>
      <w:r>
        <w:rPr>
          <w:rFonts w:hint="eastAsia" w:ascii="仿宋_GB2312" w:hAnsi="宋体" w:eastAsia="仿宋_GB2312"/>
          <w:szCs w:val="21"/>
        </w:rPr>
        <w:t>应妥善处理和解决与客户间的交易纠纷，乙方仅为甲方提供代收及</w:t>
      </w:r>
      <w:r>
        <w:rPr>
          <w:rFonts w:ascii="仿宋_GB2312" w:hAnsi="宋体" w:eastAsia="仿宋_GB2312"/>
          <w:szCs w:val="21"/>
        </w:rPr>
        <w:t>/</w:t>
      </w:r>
      <w:r>
        <w:rPr>
          <w:rFonts w:hint="eastAsia" w:ascii="仿宋_GB2312" w:hAnsi="宋体" w:eastAsia="仿宋_GB2312"/>
          <w:szCs w:val="21"/>
        </w:rPr>
        <w:t>或代付服务，客户与甲方的合同纠纷、商品或服务质量、性能、价格及售后服务、客户否认交易等纠纷以及因甲方经营行为所产生的一切责任，均由甲方独自承担责任，与乙方无关。若因此造成乙方损失的，甲方应予全额赔偿。</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4.</w:t>
      </w:r>
      <w:r>
        <w:rPr>
          <w:rFonts w:hint="eastAsia" w:ascii="仿宋_GB2312" w:hAnsi="宋体" w:eastAsia="仿宋_GB2312"/>
          <w:szCs w:val="21"/>
        </w:rPr>
        <w:t>1</w:t>
      </w:r>
      <w:r>
        <w:rPr>
          <w:rFonts w:ascii="仿宋_GB2312" w:hAnsi="宋体" w:eastAsia="仿宋_GB2312"/>
          <w:szCs w:val="21"/>
        </w:rPr>
        <w:t>.</w:t>
      </w:r>
      <w:r>
        <w:rPr>
          <w:rFonts w:hint="eastAsia" w:ascii="仿宋_GB2312" w:hAnsi="宋体" w:eastAsia="仿宋_GB2312"/>
          <w:szCs w:val="21"/>
        </w:rPr>
        <w:t>7针对代付业务，乙方按甲方的代付指令结算至甲方指定的账户</w:t>
      </w:r>
      <w:r>
        <w:rPr>
          <w:rFonts w:ascii="仿宋_GB2312" w:hAnsi="宋体" w:eastAsia="仿宋_GB2312"/>
          <w:szCs w:val="21"/>
        </w:rPr>
        <w:t>,</w:t>
      </w:r>
      <w:r>
        <w:rPr>
          <w:rFonts w:hint="eastAsia" w:ascii="仿宋_GB2312" w:hAnsi="宋体" w:eastAsia="仿宋_GB2312"/>
          <w:szCs w:val="21"/>
        </w:rPr>
        <w:t>甲方须确保该资金的合法用途</w:t>
      </w:r>
      <w:r>
        <w:rPr>
          <w:rFonts w:ascii="仿宋_GB2312" w:hAnsi="宋体" w:eastAsia="仿宋_GB2312"/>
          <w:szCs w:val="21"/>
        </w:rPr>
        <w:t>,</w:t>
      </w:r>
      <w:r>
        <w:rPr>
          <w:rFonts w:hint="eastAsia" w:ascii="仿宋_GB2312" w:hAnsi="宋体" w:eastAsia="仿宋_GB2312"/>
          <w:szCs w:val="21"/>
        </w:rPr>
        <w:t>若发生甲方客户对该款项的用途任何变更或非法占用、挪用，由甲方负责与甲方客户协商由此引起的任何纠纷</w:t>
      </w:r>
      <w:r>
        <w:rPr>
          <w:rFonts w:ascii="仿宋_GB2312" w:hAnsi="宋体" w:eastAsia="仿宋_GB2312"/>
          <w:szCs w:val="21"/>
        </w:rPr>
        <w:t>,</w:t>
      </w:r>
      <w:r>
        <w:rPr>
          <w:rFonts w:hint="eastAsia" w:ascii="仿宋_GB2312" w:hAnsi="宋体" w:eastAsia="仿宋_GB2312"/>
          <w:szCs w:val="21"/>
        </w:rPr>
        <w:t>甲方自行承担由此引起的法律责任，与乙方无关。</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4.</w:t>
      </w:r>
      <w:r>
        <w:rPr>
          <w:rFonts w:hint="eastAsia" w:ascii="仿宋_GB2312" w:hAnsi="宋体" w:eastAsia="仿宋_GB2312"/>
          <w:szCs w:val="21"/>
        </w:rPr>
        <w:t>2乙方的权利义务</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4.</w:t>
      </w:r>
      <w:r>
        <w:rPr>
          <w:rFonts w:hint="eastAsia" w:ascii="仿宋_GB2312" w:hAnsi="宋体" w:eastAsia="仿宋_GB2312"/>
          <w:szCs w:val="21"/>
        </w:rPr>
        <w:t>2</w:t>
      </w:r>
      <w:r>
        <w:rPr>
          <w:rFonts w:ascii="仿宋_GB2312" w:hAnsi="宋体" w:eastAsia="仿宋_GB2312"/>
          <w:szCs w:val="21"/>
        </w:rPr>
        <w:t xml:space="preserve">.1 </w:t>
      </w:r>
      <w:r>
        <w:rPr>
          <w:rFonts w:hint="eastAsia" w:ascii="仿宋_GB2312" w:hAnsi="宋体" w:eastAsia="仿宋_GB2312"/>
          <w:szCs w:val="21"/>
        </w:rPr>
        <w:t>负责位于其端的系统维护和安全工作，保持其正常运作，发生故障或安全问题时应及时维修。</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4.</w:t>
      </w:r>
      <w:r>
        <w:rPr>
          <w:rFonts w:hint="eastAsia" w:ascii="仿宋_GB2312" w:hAnsi="宋体" w:eastAsia="仿宋_GB2312"/>
          <w:szCs w:val="21"/>
        </w:rPr>
        <w:t>2</w:t>
      </w:r>
      <w:r>
        <w:rPr>
          <w:rFonts w:ascii="仿宋_GB2312" w:hAnsi="宋体" w:eastAsia="仿宋_GB2312"/>
          <w:szCs w:val="21"/>
        </w:rPr>
        <w:t xml:space="preserve">.2 </w:t>
      </w:r>
      <w:r>
        <w:rPr>
          <w:rFonts w:hint="eastAsia" w:ascii="仿宋_GB2312" w:hAnsi="宋体" w:eastAsia="仿宋_GB2312"/>
          <w:szCs w:val="21"/>
        </w:rPr>
        <w:t>有权对甲方的主体资格、资信情况、经营状况以及对甲方与客户签订“客户委托扣款授权书”等情况不时进行各种形式的审查，甲方应按乙方要求提供相关信息、书面说明和其他相关文件资料，以配合乙方实施的调查。</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4.</w:t>
      </w:r>
      <w:r>
        <w:rPr>
          <w:rFonts w:hint="eastAsia" w:ascii="仿宋_GB2312" w:hAnsi="宋体" w:eastAsia="仿宋_GB2312"/>
          <w:szCs w:val="21"/>
        </w:rPr>
        <w:t>2</w:t>
      </w:r>
      <w:r>
        <w:rPr>
          <w:rFonts w:ascii="仿宋_GB2312" w:hAnsi="宋体" w:eastAsia="仿宋_GB2312"/>
          <w:szCs w:val="21"/>
        </w:rPr>
        <w:t xml:space="preserve">.3 </w:t>
      </w:r>
      <w:r>
        <w:rPr>
          <w:rFonts w:hint="eastAsia" w:ascii="仿宋_GB2312" w:hAnsi="宋体" w:eastAsia="仿宋_GB2312"/>
          <w:szCs w:val="21"/>
        </w:rPr>
        <w:t>因系统升级等需要可暂时中止向甲方提供服务，亦可根据相关实际情况改进服务。</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4.</w:t>
      </w:r>
      <w:r>
        <w:rPr>
          <w:rFonts w:hint="eastAsia" w:ascii="仿宋_GB2312" w:hAnsi="宋体" w:eastAsia="仿宋_GB2312"/>
          <w:szCs w:val="21"/>
        </w:rPr>
        <w:t>2</w:t>
      </w:r>
      <w:r>
        <w:rPr>
          <w:rFonts w:ascii="仿宋_GB2312" w:hAnsi="宋体" w:eastAsia="仿宋_GB2312"/>
          <w:szCs w:val="21"/>
        </w:rPr>
        <w:t xml:space="preserve">.4 </w:t>
      </w:r>
      <w:r>
        <w:rPr>
          <w:rFonts w:hint="eastAsia" w:ascii="仿宋_GB2312" w:hAnsi="宋体" w:eastAsia="仿宋_GB2312"/>
          <w:szCs w:val="21"/>
        </w:rPr>
        <w:t>由于乙方原因造成代付资金无法到达甲方指定的银行卡账户而产生纠纷的，乙方应赔偿由此对甲方造成的直接经济损失；对于非乙方主观原因（包括但不限于本协议第九条约定的原因）造成代付资金无法到达甲方指定的银行卡账户的，乙方将协调，尽快把迟滞的代付资金支付到甲方指定的客户银行账户中，但不承担任何责任。</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4.</w:t>
      </w:r>
      <w:r>
        <w:rPr>
          <w:rFonts w:hint="eastAsia" w:ascii="仿宋_GB2312" w:hAnsi="宋体" w:eastAsia="仿宋_GB2312"/>
          <w:szCs w:val="21"/>
        </w:rPr>
        <w:t>2</w:t>
      </w:r>
      <w:r>
        <w:rPr>
          <w:rFonts w:ascii="仿宋_GB2312" w:hAnsi="宋体" w:eastAsia="仿宋_GB2312"/>
          <w:szCs w:val="21"/>
        </w:rPr>
        <w:t xml:space="preserve">.5 </w:t>
      </w:r>
      <w:r>
        <w:rPr>
          <w:rFonts w:hint="eastAsia" w:ascii="仿宋_GB2312" w:hAnsi="宋体" w:eastAsia="仿宋_GB2312"/>
          <w:szCs w:val="21"/>
        </w:rPr>
        <w:t>及时执行甲方的收</w:t>
      </w:r>
      <w:r>
        <w:rPr>
          <w:rFonts w:ascii="仿宋_GB2312" w:hAnsi="宋体" w:eastAsia="仿宋_GB2312"/>
          <w:szCs w:val="21"/>
        </w:rPr>
        <w:t>/</w:t>
      </w:r>
      <w:r>
        <w:rPr>
          <w:rFonts w:hint="eastAsia" w:ascii="仿宋_GB2312" w:hAnsi="宋体" w:eastAsia="仿宋_GB2312"/>
          <w:szCs w:val="21"/>
        </w:rPr>
        <w:t>付款电子指令，对于甲方与客户之间因收</w:t>
      </w:r>
      <w:r>
        <w:rPr>
          <w:rFonts w:ascii="仿宋_GB2312" w:hAnsi="宋体" w:eastAsia="仿宋_GB2312"/>
          <w:szCs w:val="21"/>
        </w:rPr>
        <w:t>/</w:t>
      </w:r>
      <w:r>
        <w:rPr>
          <w:rFonts w:hint="eastAsia" w:ascii="仿宋_GB2312" w:hAnsi="宋体" w:eastAsia="仿宋_GB2312"/>
          <w:szCs w:val="21"/>
        </w:rPr>
        <w:t>付款金额、时间、周期等产生的纠纷不承担任何责任。若发生甲方客户对收</w:t>
      </w:r>
      <w:r>
        <w:rPr>
          <w:rFonts w:ascii="仿宋_GB2312" w:hAnsi="宋体" w:eastAsia="仿宋_GB2312"/>
          <w:szCs w:val="21"/>
        </w:rPr>
        <w:t>/</w:t>
      </w:r>
      <w:r>
        <w:rPr>
          <w:rFonts w:hint="eastAsia" w:ascii="仿宋_GB2312" w:hAnsi="宋体" w:eastAsia="仿宋_GB2312"/>
          <w:szCs w:val="21"/>
        </w:rPr>
        <w:t>付款产生异议而引起的投诉或其他法律纠纷，甲方应及时处理，乙方因严格执行甲方发出的指令而遭受客户索赔的，甲方应全额赔偿因此造成的乙方损失。</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4.</w:t>
      </w:r>
      <w:r>
        <w:rPr>
          <w:rFonts w:hint="eastAsia" w:ascii="仿宋_GB2312" w:hAnsi="宋体" w:eastAsia="仿宋_GB2312"/>
          <w:szCs w:val="21"/>
        </w:rPr>
        <w:t>2</w:t>
      </w:r>
      <w:r>
        <w:rPr>
          <w:rFonts w:ascii="仿宋_GB2312" w:hAnsi="宋体" w:eastAsia="仿宋_GB2312"/>
          <w:szCs w:val="21"/>
        </w:rPr>
        <w:t xml:space="preserve">.6 </w:t>
      </w:r>
      <w:r>
        <w:rPr>
          <w:rFonts w:hint="eastAsia" w:ascii="仿宋_GB2312" w:hAnsi="宋体" w:eastAsia="仿宋_GB2312"/>
          <w:szCs w:val="21"/>
        </w:rPr>
        <w:t>不得将甲方基于本协议第</w:t>
      </w:r>
      <w:r>
        <w:rPr>
          <w:rFonts w:ascii="仿宋_GB2312" w:hAnsi="宋体" w:eastAsia="仿宋_GB2312"/>
          <w:szCs w:val="21"/>
        </w:rPr>
        <w:t>4.</w:t>
      </w:r>
      <w:r>
        <w:rPr>
          <w:rFonts w:hint="eastAsia" w:ascii="仿宋_GB2312" w:hAnsi="宋体" w:eastAsia="仿宋_GB2312"/>
          <w:szCs w:val="21"/>
        </w:rPr>
        <w:t>1</w:t>
      </w:r>
      <w:r>
        <w:rPr>
          <w:rFonts w:ascii="仿宋_GB2312" w:hAnsi="宋体" w:eastAsia="仿宋_GB2312"/>
          <w:szCs w:val="21"/>
        </w:rPr>
        <w:t>.4</w:t>
      </w:r>
      <w:r>
        <w:rPr>
          <w:rFonts w:hint="eastAsia" w:ascii="仿宋_GB2312" w:hAnsi="宋体" w:eastAsia="仿宋_GB2312"/>
          <w:szCs w:val="21"/>
        </w:rPr>
        <w:t>条提供的异常交易凭证用于本协议之外的盈利活动。</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4.</w:t>
      </w:r>
      <w:r>
        <w:rPr>
          <w:rFonts w:hint="eastAsia" w:ascii="仿宋_GB2312" w:hAnsi="宋体" w:eastAsia="仿宋_GB2312"/>
          <w:szCs w:val="21"/>
        </w:rPr>
        <w:t>2</w:t>
      </w:r>
      <w:r>
        <w:rPr>
          <w:rFonts w:ascii="仿宋_GB2312" w:hAnsi="宋体" w:eastAsia="仿宋_GB2312"/>
          <w:szCs w:val="21"/>
        </w:rPr>
        <w:t>.7</w:t>
      </w:r>
      <w:r>
        <w:rPr>
          <w:rFonts w:hint="eastAsia" w:ascii="仿宋_GB2312" w:hAnsi="宋体" w:eastAsia="仿宋_GB2312"/>
          <w:szCs w:val="21"/>
        </w:rPr>
        <w:t>乙方有权对甲方与客户确定的付款授权形式和内容进行调查，甲方应按乙方要求提供相关信息、书面说明和其他相关文件资料。</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4.2.8因客户账户余额或授信额度不足等情形导致支付失败的，乙方须及时向甲方反馈信息，但不承担任何责任。</w:t>
      </w:r>
    </w:p>
    <w:p>
      <w:pPr>
        <w:adjustRightInd w:val="0"/>
        <w:snapToGrid w:val="0"/>
        <w:ind w:firstLine="527" w:firstLineChars="250"/>
        <w:jc w:val="left"/>
        <w:rPr>
          <w:rFonts w:ascii="仿宋_GB2312" w:hAnsi="宋体" w:eastAsia="仿宋_GB2312"/>
          <w:b/>
          <w:szCs w:val="21"/>
        </w:rPr>
      </w:pPr>
      <w:r>
        <w:rPr>
          <w:rFonts w:hint="eastAsia" w:ascii="仿宋_GB2312" w:hAnsi="宋体" w:eastAsia="仿宋_GB2312"/>
          <w:b/>
          <w:szCs w:val="21"/>
        </w:rPr>
        <w:t>4.2.9乙方有权对甲方的交易情况进行抽单核查、交易监控、日常监督等，甲方需要提供相关的交易凭证等材料证明交易真实性及业务的合法合规性。乙方对甲方业务的真实性、合法性有合理怀疑或认为交易风险过高的，有权终止合作。</w:t>
      </w:r>
    </w:p>
    <w:p>
      <w:pPr>
        <w:adjustRightInd w:val="0"/>
        <w:snapToGrid w:val="0"/>
        <w:ind w:firstLine="527" w:firstLineChars="250"/>
        <w:jc w:val="left"/>
        <w:rPr>
          <w:rFonts w:ascii="仿宋_GB2312" w:hAnsi="宋体" w:eastAsia="仿宋_GB2312"/>
          <w:b/>
          <w:szCs w:val="21"/>
        </w:rPr>
      </w:pPr>
      <w:r>
        <w:rPr>
          <w:rFonts w:hint="eastAsia" w:ascii="仿宋_GB2312" w:hAnsi="宋体" w:eastAsia="仿宋_GB2312"/>
          <w:b/>
          <w:szCs w:val="21"/>
        </w:rPr>
        <w:t>4.2.10乙方有权对甲方开展本协议约定业务的情况进行随时抽查、跟踪，有权根据已开展业务的风险状况、甲方的实际情况进行风险评级，并有权依据风险评级采取包括但不限于控制交易限额、暂时关闭部分支付方式和业务功能、调整交易款清算限额、调整交易款清算时限和方式、冻结交易款项、暂停或终止支付业务受理等风险管理措施。但乙方应将所采取风险管理措施的情况及时通知甲方。</w:t>
      </w:r>
    </w:p>
    <w:p>
      <w:pPr>
        <w:adjustRightInd w:val="0"/>
        <w:snapToGrid w:val="0"/>
        <w:ind w:firstLine="527" w:firstLineChars="250"/>
        <w:jc w:val="left"/>
        <w:rPr>
          <w:rFonts w:ascii="仿宋_GB2312" w:hAnsi="宋体" w:eastAsia="仿宋_GB2312"/>
          <w:b/>
          <w:szCs w:val="21"/>
        </w:rPr>
      </w:pPr>
      <w:r>
        <w:rPr>
          <w:rFonts w:hint="eastAsia" w:ascii="仿宋_GB2312" w:hAnsi="宋体" w:eastAsia="仿宋_GB2312"/>
          <w:b/>
          <w:szCs w:val="21"/>
        </w:rPr>
        <w:t>4.2.11若发生任何异常交易，乙方有权扣留甲方相关交易所涉资金，若该等交易资金已划付甲方，则乙方有权从甲方后续交易的资金或保证金中扣留与该等交易资金相等额的款项或通知甲方补足该等交易资金，乙方有权使用扣留资金主动赔付给客户。保证金及资金未补足之前，乙方有权暂停本协议项下全部或部分服务。如给乙方造成损失的，甲方应赔偿乙方的全部损失，且乙方有权从甲方的待结算款项中扣取相应损失。</w:t>
      </w:r>
    </w:p>
    <w:p>
      <w:pPr>
        <w:adjustRightInd w:val="0"/>
        <w:snapToGrid w:val="0"/>
        <w:ind w:firstLine="420" w:firstLineChars="200"/>
        <w:jc w:val="left"/>
        <w:rPr>
          <w:rFonts w:ascii="仿宋_GB2312" w:hAnsi="宋体" w:eastAsia="仿宋_GB2312" w:cs="Arial"/>
          <w:szCs w:val="21"/>
        </w:rPr>
      </w:pPr>
      <w:r>
        <w:rPr>
          <w:rFonts w:hint="eastAsia" w:ascii="仿宋_GB2312" w:hAnsi="宋体" w:eastAsia="仿宋_GB2312"/>
          <w:szCs w:val="21"/>
        </w:rPr>
        <w:t>4.2.12</w:t>
      </w:r>
      <w:r>
        <w:rPr>
          <w:rFonts w:hint="eastAsia" w:ascii="仿宋_GB2312" w:hAnsi="宋体" w:eastAsia="仿宋_GB2312" w:cs="Arial"/>
          <w:szCs w:val="21"/>
        </w:rPr>
        <w:t>甲方业务发生以下变更时，应提前三个工作日书面通知乙方，否则将承担由此造成的损失。乙方有权视变更的情况对本业务合作进行重新评估，做出暂停业务直至提前解除协议的决定，由此导致的协议终止不属违约。所涉及的业务内容变更包括：</w:t>
      </w:r>
    </w:p>
    <w:p>
      <w:pPr>
        <w:adjustRightInd w:val="0"/>
        <w:snapToGrid w:val="0"/>
        <w:ind w:firstLine="420" w:firstLineChars="200"/>
        <w:jc w:val="left"/>
        <w:rPr>
          <w:rFonts w:ascii="仿宋_GB2312" w:hAnsi="宋体" w:eastAsia="仿宋_GB2312" w:cs="Arial"/>
          <w:szCs w:val="21"/>
        </w:rPr>
      </w:pPr>
      <w:r>
        <w:rPr>
          <w:rFonts w:hint="eastAsia" w:ascii="仿宋_GB2312" w:hAnsi="宋体" w:eastAsia="仿宋_GB2312" w:cs="Arial"/>
          <w:szCs w:val="21"/>
        </w:rPr>
        <w:t>（1）甲方名称、地址、法人代表或负责人、经营网站及网站经营范围、结算账户及联系人等本协议签约表及商户信息调查表登记资料；</w:t>
      </w:r>
    </w:p>
    <w:p>
      <w:pPr>
        <w:adjustRightInd w:val="0"/>
        <w:snapToGrid w:val="0"/>
        <w:ind w:firstLine="420" w:firstLineChars="200"/>
        <w:jc w:val="left"/>
        <w:rPr>
          <w:rFonts w:ascii="仿宋_GB2312" w:hAnsi="宋体" w:eastAsia="仿宋_GB2312" w:cs="Arial"/>
          <w:szCs w:val="21"/>
        </w:rPr>
      </w:pPr>
      <w:r>
        <w:rPr>
          <w:rFonts w:hint="eastAsia" w:ascii="仿宋_GB2312" w:hAnsi="宋体" w:eastAsia="仿宋_GB2312" w:cs="Arial"/>
          <w:szCs w:val="21"/>
        </w:rPr>
        <w:t>（2）甲方指定的URL及IP地址等技术参数；</w:t>
      </w:r>
    </w:p>
    <w:p>
      <w:pPr>
        <w:adjustRightInd w:val="0"/>
        <w:snapToGrid w:val="0"/>
        <w:ind w:firstLine="420" w:firstLineChars="200"/>
        <w:jc w:val="left"/>
        <w:rPr>
          <w:rFonts w:ascii="仿宋_GB2312" w:hAnsi="宋体" w:eastAsia="仿宋_GB2312" w:cs="Arial"/>
          <w:szCs w:val="21"/>
        </w:rPr>
      </w:pPr>
      <w:r>
        <w:rPr>
          <w:rFonts w:hint="eastAsia" w:ascii="仿宋_GB2312" w:hAnsi="宋体" w:eastAsia="仿宋_GB2312" w:cs="Arial"/>
          <w:szCs w:val="21"/>
        </w:rPr>
        <w:t>（3）甲方资本及所有权变更，如注册资本的增减、重大的债务变化、股权持有人的变更等。</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五、费用支付和资金结算</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5.1甲方系统平台的建设费用、甲方与乙方进行通信的所有硬件、软件及电信部门收取的通信费用由甲方自付。</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5.2甲方使用乙方代收代付系统</w:t>
      </w:r>
      <w:r>
        <w:rPr>
          <w:rFonts w:ascii="仿宋_GB2312" w:hAnsi="宋体" w:eastAsia="仿宋_GB2312"/>
          <w:szCs w:val="21"/>
        </w:rPr>
        <w:t>,</w:t>
      </w:r>
      <w:r>
        <w:rPr>
          <w:rFonts w:hint="eastAsia" w:ascii="仿宋_GB2312" w:hAnsi="宋体" w:eastAsia="仿宋_GB2312"/>
          <w:szCs w:val="21"/>
        </w:rPr>
        <w:t>须向乙方支付系统接入服务年费、证书年费</w:t>
      </w:r>
      <w:r>
        <w:rPr>
          <w:rFonts w:ascii="仿宋_GB2312" w:hAnsi="宋体" w:eastAsia="仿宋_GB2312"/>
          <w:szCs w:val="21"/>
        </w:rPr>
        <w:t>,</w:t>
      </w:r>
      <w:r>
        <w:rPr>
          <w:rFonts w:hint="eastAsia" w:ascii="仿宋_GB2312" w:hAnsi="宋体" w:eastAsia="仿宋_GB2312"/>
          <w:szCs w:val="21"/>
        </w:rPr>
        <w:t>乙方负责提供服务年费发票。</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5.3甲方应在本协议签订之日起</w:t>
      </w:r>
      <w:r>
        <w:rPr>
          <w:rFonts w:ascii="仿宋_GB2312" w:hAnsi="宋体" w:eastAsia="仿宋_GB2312"/>
          <w:szCs w:val="21"/>
        </w:rPr>
        <w:t>7</w:t>
      </w:r>
      <w:r>
        <w:rPr>
          <w:rFonts w:hint="eastAsia" w:ascii="仿宋_GB2312" w:hAnsi="宋体" w:eastAsia="仿宋_GB2312"/>
          <w:szCs w:val="21"/>
        </w:rPr>
        <w:t>日内将系统接入服务年费划入乙方的指定账户内；之后每年甲方须在周年签约之日起</w:t>
      </w:r>
      <w:r>
        <w:rPr>
          <w:rFonts w:ascii="仿宋_GB2312" w:hAnsi="宋体" w:eastAsia="仿宋_GB2312"/>
          <w:szCs w:val="21"/>
        </w:rPr>
        <w:t>7</w:t>
      </w:r>
      <w:r>
        <w:rPr>
          <w:rFonts w:hint="eastAsia" w:ascii="仿宋_GB2312" w:hAnsi="宋体" w:eastAsia="仿宋_GB2312"/>
          <w:szCs w:val="21"/>
        </w:rPr>
        <w:t>日内向乙方支付系统接入服务年费至合约到期。甲方逾期不支付费用视为甲方违约，乙方可终止协议并追究甲方责任。</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5.4甲方向乙方支付操作员证书费，于操作员证书发放前支付，甲方应将操作员证书费款项划入乙方如下指定账户中</w:t>
      </w:r>
      <w:r>
        <w:rPr>
          <w:rFonts w:ascii="仿宋_GB2312" w:hAnsi="宋体" w:eastAsia="仿宋_GB2312"/>
          <w:szCs w:val="21"/>
        </w:rPr>
        <w:t>,</w:t>
      </w:r>
      <w:r>
        <w:rPr>
          <w:rFonts w:hint="eastAsia" w:ascii="仿宋_GB2312" w:hAnsi="宋体" w:eastAsia="仿宋_GB2312"/>
          <w:szCs w:val="21"/>
        </w:rPr>
        <w:t>乙方负责提供证书服务费发票。</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5.5甲方使用乙方代收代付系统</w:t>
      </w:r>
      <w:r>
        <w:rPr>
          <w:rFonts w:ascii="仿宋_GB2312" w:hAnsi="宋体" w:eastAsia="仿宋_GB2312"/>
          <w:szCs w:val="21"/>
        </w:rPr>
        <w:t>,</w:t>
      </w:r>
      <w:r>
        <w:rPr>
          <w:rFonts w:hint="eastAsia" w:ascii="仿宋_GB2312" w:hAnsi="宋体" w:eastAsia="仿宋_GB2312"/>
          <w:szCs w:val="21"/>
        </w:rPr>
        <w:t>须向乙方按笔支付交易手续费，乙方在确认甲方需代收代付款项及对应手续费已到乙方指定账户后才为甲方提供对应服务，如甲方有拖欠手续费，乙方有权在甲方的交易资金中扣取甲方未付手续费和滞纳金。甲方逾期不支付费用视为甲方违约，乙方可终止协议并追究甲方责任。乙方负责按月向甲方提供交易手续费总额的发票。</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5.6乙方收取系统接入服务年费、操作员证书费、交易手续费、保证金和滞纳金的指定账户如下：</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开户名称：易联支付有限公司</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开户银行：招商银行广州体育西路支行</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 xml:space="preserve">银行账号：  </w:t>
      </w:r>
      <w:r>
        <w:rPr>
          <w:rFonts w:ascii="仿宋_GB2312" w:hAnsi="宋体" w:eastAsia="仿宋_GB2312"/>
          <w:szCs w:val="21"/>
        </w:rPr>
        <w:t>120906155810818</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5.7若遇国家行政管理部门政策调整，或中国人民银行、中国银联、乙方的合作银联方的相关政策有所调整的，调整方应即时通知另一方，另一方收到通知后</w:t>
      </w:r>
      <w:r>
        <w:rPr>
          <w:rFonts w:ascii="仿宋_GB2312" w:hAnsi="宋体" w:eastAsia="仿宋_GB2312"/>
          <w:szCs w:val="21"/>
        </w:rPr>
        <w:t>5</w:t>
      </w:r>
      <w:r>
        <w:rPr>
          <w:rFonts w:hint="eastAsia" w:ascii="仿宋_GB2312" w:hAnsi="宋体" w:eastAsia="仿宋_GB2312"/>
          <w:szCs w:val="21"/>
        </w:rPr>
        <w:t>天内由双方对调整后的手续费标准进行协商确认，未在期限内予以答复的视为接受该调整，按调整后的标准执行。如协商不能达成一致的，被要求调整方有权终止本协议。</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5.8双方确认，下列信息为各自收取相关款项的银行账户信息：</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5.8.1</w:t>
      </w:r>
      <w:r>
        <w:rPr>
          <w:rFonts w:hint="eastAsia" w:ascii="仿宋_GB2312" w:hAnsi="宋体" w:eastAsia="仿宋_GB2312"/>
          <w:szCs w:val="21"/>
        </w:rPr>
        <w:t>甲方银行账户信息：甲方收取本协议项下所有款项的银行账户均为下列银行账户：</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 xml:space="preserve">       开户名称：临沂至航国际贸易有限公司</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 xml:space="preserve">       开户银行：中国工商银行股份有限公司</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 xml:space="preserve">       开户行地址：中国工商银行股份有限公司临沂兰山支行</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 xml:space="preserve">       银行账号：1610020109200665313</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5.8.</w:t>
      </w:r>
      <w:r>
        <w:rPr>
          <w:rFonts w:hint="eastAsia" w:ascii="仿宋_GB2312" w:hAnsi="宋体" w:eastAsia="仿宋_GB2312"/>
          <w:szCs w:val="21"/>
        </w:rPr>
        <w:t xml:space="preserve">2甲方的上述银行信息若发生任何变更，其应在变更前七个工作日通知乙方，否则由此造成的乙方损失和其他一切责任均由甲方承担。 </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5.8.</w:t>
      </w:r>
      <w:r>
        <w:rPr>
          <w:rFonts w:hint="eastAsia" w:ascii="仿宋_GB2312" w:hAnsi="宋体" w:eastAsia="仿宋_GB2312"/>
          <w:szCs w:val="21"/>
        </w:rPr>
        <w:t>3乙方银行账户信息：乙方收取代付金、退款资金的银行账户为下列银行账户：</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 xml:space="preserve">户名：易联支付有限公司        </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账号：220200079</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行号：991588000642</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行名：易联支付-备付金账户</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5.9为确保交易资金的安全，甲方按本协议附件确定的标准向乙方交付保证金。本协议期间内未发生风险调单事件或发生风险交易调单事件但调单事件在本协议到期前处理完毕的，保证金余额于本协议终止之日起1个月内无息返还；发生调单事件且在协议到期前尚未处理完毕的，保证金根据调单事件的处理结果进行返还。</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5.10本协议中约定的所有服务费用见合同附件一；除本协议另有约定外，双方应各自依法承担因履行本协议所产生的税费及其他款项。</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5.11双方确认，甲方支付给乙方的手续费包含需支付给通道方的通道费用等成本费用，由乙方代为收取并支付给相应通道方。</w:t>
      </w:r>
    </w:p>
    <w:p>
      <w:pPr>
        <w:adjustRightInd w:val="0"/>
        <w:snapToGrid w:val="0"/>
        <w:ind w:firstLine="525" w:firstLineChars="250"/>
        <w:jc w:val="left"/>
        <w:rPr>
          <w:rFonts w:ascii="仿宋_GB2312" w:hAnsi="宋体" w:eastAsia="仿宋_GB2312"/>
          <w:szCs w:val="21"/>
        </w:rPr>
      </w:pPr>
    </w:p>
    <w:p>
      <w:pPr>
        <w:adjustRightInd w:val="0"/>
        <w:snapToGrid w:val="0"/>
        <w:ind w:firstLine="527" w:firstLineChars="250"/>
        <w:jc w:val="left"/>
        <w:rPr>
          <w:rFonts w:ascii="仿宋_GB2312" w:hAnsi="宋体" w:eastAsia="仿宋_GB2312"/>
          <w:b/>
          <w:szCs w:val="21"/>
        </w:rPr>
      </w:pPr>
      <w:r>
        <w:rPr>
          <w:rFonts w:hint="eastAsia" w:ascii="仿宋_GB2312" w:hAnsi="宋体" w:eastAsia="仿宋_GB2312"/>
          <w:b/>
          <w:szCs w:val="21"/>
        </w:rPr>
        <w:t>六、风险控制条款</w:t>
      </w:r>
    </w:p>
    <w:p>
      <w:pPr>
        <w:adjustRightInd w:val="0"/>
        <w:snapToGrid w:val="0"/>
        <w:ind w:firstLine="527" w:firstLineChars="250"/>
        <w:jc w:val="left"/>
        <w:rPr>
          <w:rFonts w:ascii="仿宋_GB2312" w:hAnsi="宋体" w:eastAsia="仿宋_GB2312"/>
          <w:b/>
          <w:szCs w:val="21"/>
        </w:rPr>
      </w:pPr>
    </w:p>
    <w:p>
      <w:pPr>
        <w:adjustRightInd w:val="0"/>
        <w:snapToGrid w:val="0"/>
        <w:ind w:firstLine="527" w:firstLineChars="250"/>
        <w:jc w:val="left"/>
        <w:rPr>
          <w:rFonts w:hint="eastAsia" w:ascii="仿宋_GB2312" w:hAnsi="宋体" w:eastAsia="仿宋_GB2312"/>
          <w:b/>
          <w:szCs w:val="21"/>
        </w:rPr>
      </w:pPr>
    </w:p>
    <w:p>
      <w:pPr>
        <w:adjustRightInd w:val="0"/>
        <w:snapToGrid w:val="0"/>
        <w:ind w:firstLine="527" w:firstLineChars="250"/>
        <w:jc w:val="left"/>
        <w:rPr>
          <w:rFonts w:ascii="仿宋_GB2312" w:hAnsi="宋体" w:eastAsia="仿宋_GB2312"/>
          <w:b/>
          <w:szCs w:val="21"/>
        </w:rPr>
      </w:pPr>
      <w:r>
        <w:rPr>
          <w:rFonts w:ascii="仿宋_GB2312" w:hAnsi="宋体" w:eastAsia="仿宋_GB2312"/>
          <w:b/>
          <w:szCs w:val="21"/>
        </w:rPr>
        <w:t>6.1</w:t>
      </w:r>
      <w:r>
        <w:rPr>
          <w:rFonts w:hint="eastAsia" w:ascii="仿宋_GB2312" w:hAnsi="宋体" w:eastAsia="仿宋_GB2312"/>
          <w:b/>
          <w:szCs w:val="21"/>
        </w:rPr>
        <w:t>支付账户所记录的资金余额不同于甲方本人的银行存款，不受《存款保险条例》保护，其实质为甲方委托乙方保管的、所有权归属于甲方的预付价值。该预付价值对应的货币资金虽然属于甲方，但不以甲方本人名义存放在银行，而是以乙方名义存放在银行，并且由乙方向银行发起资金调拨指令。</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若甲方选择开通代收业务的，则甲方还须遵守下列约定：</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 xml:space="preserve">6.2 </w:t>
      </w:r>
      <w:r>
        <w:rPr>
          <w:rFonts w:hint="eastAsia" w:ascii="仿宋_GB2312" w:hAnsi="宋体" w:eastAsia="仿宋_GB2312"/>
          <w:szCs w:val="21"/>
        </w:rPr>
        <w:t>本条款是指持卡人银行卡账户内的资金被盗用、持卡人否认交易、拒付资金等异常交易，则由甲方负责按乙方要求先行全额赔偿持卡人的资金，乙方负责原路返还持卡人资金。</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6.</w:t>
      </w:r>
      <w:r>
        <w:rPr>
          <w:rFonts w:hint="eastAsia" w:ascii="仿宋_GB2312" w:hAnsi="宋体" w:eastAsia="仿宋_GB2312"/>
          <w:szCs w:val="21"/>
        </w:rPr>
        <w:t>3</w:t>
      </w:r>
      <w:r>
        <w:rPr>
          <w:rFonts w:ascii="仿宋_GB2312" w:hAnsi="宋体" w:eastAsia="仿宋_GB2312"/>
          <w:szCs w:val="21"/>
        </w:rPr>
        <w:t xml:space="preserve"> </w:t>
      </w:r>
      <w:r>
        <w:rPr>
          <w:rFonts w:hint="eastAsia" w:ascii="仿宋_GB2312" w:hAnsi="宋体" w:eastAsia="仿宋_GB2312"/>
          <w:szCs w:val="21"/>
        </w:rPr>
        <w:t>甲方应指定专人负责处理赔付工作，并将该负责人的联系方式书面递交乙方，以电话或书面形式或乙方要求的其他形式及时向乙方通报相关情况，该负责人联系方式变更或甲方更换负责人的，甲方应提前3日通知乙方，否则甲方承担由此导致的任何风险。</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6.</w:t>
      </w:r>
      <w:r>
        <w:rPr>
          <w:rFonts w:hint="eastAsia" w:ascii="仿宋_GB2312" w:hAnsi="宋体" w:eastAsia="仿宋_GB2312"/>
          <w:szCs w:val="21"/>
        </w:rPr>
        <w:t>4发生任何异常交易，乙方有权使用甲方尚未结算的资金先行赔付给客户，如保证金及甲方尚未结算的资金不足以全额赔付的，甲方应自乙方要求的时间内补足，乙方并有权中止/终止本协议项下全部或部分服务。如乙方已先行为甲方垫付的，甲方对乙方全部垫款负有偿还责任，乙方有权在甲方后续待结算款中扣除或要求乙方在限定时间内补足垫款。在甲方未执行本条款内容时,乙方有权中止/终止本协议项下全部或部分服务。</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6.</w:t>
      </w:r>
      <w:r>
        <w:rPr>
          <w:rFonts w:hint="eastAsia" w:ascii="仿宋_GB2312" w:hAnsi="宋体" w:eastAsia="仿宋_GB2312"/>
          <w:szCs w:val="21"/>
        </w:rPr>
        <w:t>5 双方在处理客户资金被盗事件中，均应尽力避免任何一方出现声誉风险损失。</w:t>
      </w:r>
    </w:p>
    <w:p>
      <w:pPr>
        <w:adjustRightInd w:val="0"/>
        <w:snapToGrid w:val="0"/>
        <w:ind w:firstLine="527" w:firstLineChars="250"/>
        <w:jc w:val="left"/>
        <w:rPr>
          <w:rFonts w:ascii="仿宋_GB2312" w:hAnsi="宋体" w:eastAsia="仿宋_GB2312"/>
          <w:b/>
          <w:szCs w:val="21"/>
        </w:rPr>
      </w:pPr>
      <w:r>
        <w:rPr>
          <w:rFonts w:hint="eastAsia" w:ascii="仿宋_GB2312" w:hAnsi="宋体" w:eastAsia="仿宋_GB2312"/>
          <w:b/>
          <w:szCs w:val="21"/>
        </w:rPr>
        <w:t>6.6如双方业务合作暂停或终止时，乙方有权根据甲方的日常交易风险情况扣留一定的风险保证金，所扣留风险有关操作按协议第5条第9款保证金条款的约定执行。</w:t>
      </w:r>
    </w:p>
    <w:p>
      <w:pPr>
        <w:adjustRightInd w:val="0"/>
        <w:snapToGrid w:val="0"/>
        <w:ind w:firstLine="527" w:firstLineChars="250"/>
        <w:jc w:val="left"/>
        <w:rPr>
          <w:rFonts w:ascii="仿宋_GB2312" w:hAnsi="宋体" w:eastAsia="仿宋_GB2312"/>
          <w:b/>
          <w:szCs w:val="21"/>
        </w:rPr>
      </w:pP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七、保密</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协议任一方应对其在磋商、签订、执行本协议过程中所知晓的对方任何形式的非公开信息、资料负有保密义务。甲方并应在乙方要求时或本协议终止时将所有信息、资料及其复制件返还乙方或根据乙方要求将其销毁。保密义务不受本协议有效期限的限制，本协议终止后，本条继续有效。</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八、特别约定</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双方特别约定，若因下列情形导致乙方的服务终止、中止或变更的，乙方对此不向甲方承担任何责任：</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8</w:t>
      </w:r>
      <w:r>
        <w:rPr>
          <w:rFonts w:ascii="仿宋_GB2312" w:hAnsi="宋体" w:eastAsia="仿宋_GB2312"/>
          <w:szCs w:val="21"/>
        </w:rPr>
        <w:t xml:space="preserve">.1 </w:t>
      </w:r>
      <w:r>
        <w:rPr>
          <w:rFonts w:hint="eastAsia" w:ascii="仿宋_GB2312" w:hAnsi="宋体" w:eastAsia="仿宋_GB2312"/>
          <w:szCs w:val="21"/>
        </w:rPr>
        <w:t>发生不可抗力情形，包括但不限于地震、台风、洪水、火灾、战争、暴动、政府行为，相关规定及其适用发生变更，相关部门和单位要求等；鉴于网络所具有的特殊性质，不可抗力还包括黑客攻击、计算机病毒发作、银行银联和电信部门技术调整等非因某一方故意或者过失而造成另一方未能按照本协议的约定提供服务的情况。</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8</w:t>
      </w:r>
      <w:r>
        <w:rPr>
          <w:rFonts w:ascii="仿宋_GB2312" w:hAnsi="宋体" w:eastAsia="仿宋_GB2312"/>
          <w:szCs w:val="21"/>
        </w:rPr>
        <w:t>.2</w:t>
      </w:r>
      <w:r>
        <w:rPr>
          <w:rFonts w:hint="eastAsia" w:ascii="仿宋_GB2312" w:hAnsi="宋体" w:eastAsia="仿宋_GB2312"/>
          <w:szCs w:val="21"/>
        </w:rPr>
        <w:t>由于国家金融政策，或银联及相关银行内部系统升级、系统故障或变更服务，乙方的代收或代付平台系统及支付工具等发生盗窃、破坏等意外事件等原因造成乙方支付服务中断的，不视为乙方违约。</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8</w:t>
      </w:r>
      <w:r>
        <w:rPr>
          <w:rFonts w:ascii="仿宋_GB2312" w:hAnsi="宋体" w:eastAsia="仿宋_GB2312"/>
          <w:szCs w:val="21"/>
        </w:rPr>
        <w:t>.3</w:t>
      </w:r>
      <w:r>
        <w:rPr>
          <w:rFonts w:hint="eastAsia" w:ascii="仿宋_GB2312" w:hAnsi="宋体" w:eastAsia="仿宋_GB2312"/>
          <w:szCs w:val="21"/>
        </w:rPr>
        <w:t xml:space="preserve"> 若乙方对业务收费价格进行调整，或遇国家行政管理部门、中国人民银行、中国银联的业务规则或相关政策有所调整的，乙方应及时通知甲方，甲方收到通知后</w:t>
      </w:r>
      <w:r>
        <w:rPr>
          <w:rFonts w:ascii="仿宋_GB2312" w:hAnsi="宋体" w:eastAsia="仿宋_GB2312"/>
          <w:szCs w:val="21"/>
        </w:rPr>
        <w:t>5天内由双方对调整后的手续费标准进行协商确认，未在期限内予以答复的视为接受该调整，按调整后的标准执行。如协商不能达成一致的，双方均有权终止本协议。双方互不承担违约责任</w:t>
      </w:r>
      <w:r>
        <w:rPr>
          <w:rFonts w:hint="eastAsia" w:ascii="仿宋_GB2312" w:hAnsi="宋体" w:eastAsia="仿宋_GB2312"/>
          <w:szCs w:val="21"/>
        </w:rPr>
        <w:t>。</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九、违约责任</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9</w:t>
      </w:r>
      <w:r>
        <w:rPr>
          <w:rFonts w:ascii="仿宋_GB2312" w:hAnsi="宋体" w:eastAsia="仿宋_GB2312"/>
          <w:szCs w:val="21"/>
        </w:rPr>
        <w:t xml:space="preserve">.1 </w:t>
      </w:r>
      <w:r>
        <w:rPr>
          <w:rFonts w:hint="eastAsia" w:ascii="仿宋_GB2312" w:hAnsi="宋体" w:eastAsia="仿宋_GB2312"/>
          <w:szCs w:val="21"/>
        </w:rPr>
        <w:t>如因甲方的过失，使代收</w:t>
      </w:r>
      <w:r>
        <w:rPr>
          <w:rFonts w:ascii="仿宋_GB2312" w:hAnsi="宋体" w:eastAsia="仿宋_GB2312"/>
          <w:szCs w:val="21"/>
        </w:rPr>
        <w:t>/</w:t>
      </w:r>
      <w:r>
        <w:rPr>
          <w:rFonts w:hint="eastAsia" w:ascii="仿宋_GB2312" w:hAnsi="宋体" w:eastAsia="仿宋_GB2312"/>
          <w:szCs w:val="21"/>
        </w:rPr>
        <w:t>代付业务无法提供正常服务，导致乙方的声誉受到不良影响，乙方应及时与甲方联系，双方本着友好协商的原则解决问题；如不能达成一致意见，乙方经书面通知甲方</w:t>
      </w:r>
      <w:r>
        <w:rPr>
          <w:rFonts w:ascii="仿宋_GB2312" w:hAnsi="宋体" w:eastAsia="仿宋_GB2312"/>
          <w:szCs w:val="21"/>
        </w:rPr>
        <w:t>30</w:t>
      </w:r>
      <w:r>
        <w:rPr>
          <w:rFonts w:hint="eastAsia" w:ascii="仿宋_GB2312" w:hAnsi="宋体" w:eastAsia="仿宋_GB2312"/>
          <w:szCs w:val="21"/>
        </w:rPr>
        <w:t>天后，有权终止合作，甲方应对乙方的实际损失承担相应责任。</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9</w:t>
      </w:r>
      <w:r>
        <w:rPr>
          <w:rFonts w:ascii="仿宋_GB2312" w:hAnsi="宋体" w:eastAsia="仿宋_GB2312"/>
          <w:szCs w:val="21"/>
        </w:rPr>
        <w:t xml:space="preserve">.2 </w:t>
      </w:r>
      <w:r>
        <w:rPr>
          <w:rFonts w:hint="eastAsia" w:ascii="仿宋_GB2312" w:hAnsi="宋体" w:eastAsia="仿宋_GB2312"/>
          <w:szCs w:val="21"/>
        </w:rPr>
        <w:t>如因乙方的过失，不能为甲方及甲方用户提供正常的代收</w:t>
      </w:r>
      <w:r>
        <w:rPr>
          <w:rFonts w:ascii="仿宋_GB2312" w:hAnsi="宋体" w:eastAsia="仿宋_GB2312"/>
          <w:szCs w:val="21"/>
        </w:rPr>
        <w:t>/</w:t>
      </w:r>
      <w:r>
        <w:rPr>
          <w:rFonts w:hint="eastAsia" w:ascii="仿宋_GB2312" w:hAnsi="宋体" w:eastAsia="仿宋_GB2312"/>
          <w:szCs w:val="21"/>
        </w:rPr>
        <w:t>代付服务，甲方应及时与乙方联系，双方本着友好协商的原则解决问题；如不能达成一致意见，甲方经书面通知乙方</w:t>
      </w:r>
      <w:r>
        <w:rPr>
          <w:rFonts w:ascii="仿宋_GB2312" w:hAnsi="宋体" w:eastAsia="仿宋_GB2312"/>
          <w:szCs w:val="21"/>
        </w:rPr>
        <w:t>30</w:t>
      </w:r>
      <w:r>
        <w:rPr>
          <w:rFonts w:hint="eastAsia" w:ascii="仿宋_GB2312" w:hAnsi="宋体" w:eastAsia="仿宋_GB2312"/>
          <w:szCs w:val="21"/>
        </w:rPr>
        <w:t>天后，有权终止合作，乙方应对甲方的实际损失承担相应责任。鉴于乙方代收</w:t>
      </w:r>
      <w:r>
        <w:rPr>
          <w:rFonts w:ascii="仿宋_GB2312" w:hAnsi="宋体" w:eastAsia="仿宋_GB2312"/>
          <w:szCs w:val="21"/>
        </w:rPr>
        <w:t>/</w:t>
      </w:r>
      <w:r>
        <w:rPr>
          <w:rFonts w:hint="eastAsia" w:ascii="仿宋_GB2312" w:hAnsi="宋体" w:eastAsia="仿宋_GB2312"/>
          <w:szCs w:val="21"/>
        </w:rPr>
        <w:t>代付业务并非甲方唯一支付渠道，任何情形下，乙方均无需承担甲方预期利益等间接损失。</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十、协议终止</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除本协议另有约定外，甲方有下列情形之一的</w:t>
      </w:r>
      <w:r>
        <w:rPr>
          <w:rFonts w:ascii="仿宋_GB2312" w:hAnsi="宋体" w:eastAsia="仿宋_GB2312"/>
          <w:szCs w:val="21"/>
        </w:rPr>
        <w:t>,</w:t>
      </w:r>
      <w:r>
        <w:rPr>
          <w:rFonts w:hint="eastAsia" w:ascii="仿宋_GB2312" w:hAnsi="宋体" w:eastAsia="仿宋_GB2312"/>
          <w:szCs w:val="21"/>
        </w:rPr>
        <w:t xml:space="preserve">乙方有权立即终止本协议，乙方因此终止本协议的，无须向甲方承担任何责任，由此造成乙方损失的，甲方应全额赔偿： </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10.1  逾期30日仍未向乙方全额支付应付费用的；</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10.2 虚构交易接收持卡人支付资金，与客户串通诈骗资金的；</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10.3 任意连续超过180日（含）无交易的；</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10.4 无正当理由而拒绝受理或限制客户使用乙方服务进行支付结帐的；</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10.5 销售国家禁止流通、限制流通商品或提供非法服务的；</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10.6  因未按承诺提供商品或服务等欺诈行为而给客户造成重大损失的；</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10.7 被工商等管理部门吊销营业执照等，从而失去经营资格的；</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10.8 甲方信息变更不再具备支付合</w:t>
      </w:r>
      <w:r>
        <w:rPr>
          <w:rFonts w:ascii="仿宋_GB2312" w:hAnsi="宋体" w:eastAsia="仿宋_GB2312"/>
          <w:szCs w:val="21"/>
        </w:rPr>
        <w:t>作</w:t>
      </w:r>
      <w:r>
        <w:rPr>
          <w:rFonts w:hint="eastAsia" w:ascii="仿宋_GB2312" w:hAnsi="宋体" w:eastAsia="仿宋_GB2312"/>
          <w:szCs w:val="21"/>
        </w:rPr>
        <w:t>业务受理资质的；</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10.9  以套现为目的申请成为商户，并利用支付业务从事套现活动的；</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10.10虚假申请商户，即以虚假资料或冒用其它商户的资料向乙方申请为商户的；</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10.11默许、纵容或与不法分子共同盗录客户身份信息及/或支付卡、账户信息，从事欺诈活动的；</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10..12拒绝按照本协议的约定配合调单或不能提供合规交易单据造成开户机构退单，且逃避承担退单责任的；</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10.13因经营不善，导致停业整顿、倒闭的；</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10.14甲方、甲方法人代表或其主要负责人涉及重大民事纠纷或涉嫌重大经济、刑事犯罪的；</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10.15甲</w:t>
      </w:r>
      <w:r>
        <w:rPr>
          <w:rFonts w:ascii="仿宋_GB2312" w:hAnsi="宋体" w:eastAsia="仿宋_GB2312"/>
          <w:szCs w:val="21"/>
        </w:rPr>
        <w:t>方被</w:t>
      </w:r>
      <w:r>
        <w:rPr>
          <w:rFonts w:hint="eastAsia" w:ascii="仿宋_GB2312" w:hAnsi="宋体" w:eastAsia="仿宋_GB2312"/>
          <w:szCs w:val="21"/>
        </w:rPr>
        <w:t>商</w:t>
      </w:r>
      <w:r>
        <w:rPr>
          <w:rFonts w:ascii="仿宋_GB2312" w:hAnsi="宋体" w:eastAsia="仿宋_GB2312"/>
          <w:szCs w:val="21"/>
        </w:rPr>
        <w:t>事登记机关列入</w:t>
      </w:r>
      <w:r>
        <w:rPr>
          <w:rFonts w:hint="eastAsia" w:ascii="仿宋_GB2312" w:hAnsi="宋体" w:eastAsia="仿宋_GB2312"/>
          <w:szCs w:val="21"/>
        </w:rPr>
        <w:t>经</w:t>
      </w:r>
      <w:r>
        <w:rPr>
          <w:rFonts w:ascii="仿宋_GB2312" w:hAnsi="宋体" w:eastAsia="仿宋_GB2312"/>
          <w:szCs w:val="21"/>
        </w:rPr>
        <w:t>营异常或信用不良名录、被全国企业信用信息公示系统</w:t>
      </w:r>
      <w:r>
        <w:rPr>
          <w:rFonts w:hint="eastAsia" w:ascii="仿宋_GB2312" w:hAnsi="宋体" w:eastAsia="仿宋_GB2312"/>
          <w:szCs w:val="21"/>
        </w:rPr>
        <w:t xml:space="preserve"> 列入“严重违法失信企业名单的</w:t>
      </w:r>
      <w:r>
        <w:rPr>
          <w:rFonts w:ascii="仿宋_GB2312" w:hAnsi="宋体" w:eastAsia="仿宋_GB2312"/>
          <w:szCs w:val="21"/>
        </w:rPr>
        <w:t>；</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10.16已作为 “可疑商户”被列入中国银联等机构风险信息共享系统的；</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10.17发生《中国银联直联商户重大风险事件应急处置预案》中规定的 “重大商户风险事件”的；</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10.18注册地或经营地无法核实或存在异常的</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10.19符合本协议规定的其它终止条件的。</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十一、争议解决</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1</w:t>
      </w:r>
      <w:r>
        <w:rPr>
          <w:rFonts w:hint="eastAsia" w:ascii="仿宋_GB2312" w:hAnsi="宋体" w:eastAsia="仿宋_GB2312"/>
          <w:szCs w:val="21"/>
        </w:rPr>
        <w:t>1</w:t>
      </w:r>
      <w:r>
        <w:rPr>
          <w:rFonts w:ascii="仿宋_GB2312" w:hAnsi="宋体" w:eastAsia="仿宋_GB2312"/>
          <w:szCs w:val="21"/>
        </w:rPr>
        <w:t xml:space="preserve">.1 </w:t>
      </w:r>
      <w:r>
        <w:rPr>
          <w:rFonts w:hint="eastAsia" w:ascii="仿宋_GB2312" w:hAnsi="宋体" w:eastAsia="仿宋_GB2312"/>
          <w:szCs w:val="21"/>
        </w:rPr>
        <w:t>双方在合作期间如产生对合作的不同意见甚至争议，应该本着友好、平等、互利的态度协商解决；协商无效，任何一方均可以向乙方所在地人民法院提起诉讼。</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1</w:t>
      </w:r>
      <w:r>
        <w:rPr>
          <w:rFonts w:hint="eastAsia" w:ascii="仿宋_GB2312" w:hAnsi="宋体" w:eastAsia="仿宋_GB2312"/>
          <w:szCs w:val="21"/>
        </w:rPr>
        <w:t>1</w:t>
      </w:r>
      <w:r>
        <w:rPr>
          <w:rFonts w:ascii="仿宋_GB2312" w:hAnsi="宋体" w:eastAsia="仿宋_GB2312"/>
          <w:szCs w:val="21"/>
        </w:rPr>
        <w:t xml:space="preserve">.2 </w:t>
      </w:r>
      <w:r>
        <w:rPr>
          <w:rFonts w:hint="eastAsia" w:ascii="仿宋_GB2312" w:hAnsi="宋体" w:eastAsia="仿宋_GB2312"/>
          <w:szCs w:val="21"/>
        </w:rPr>
        <w:t>当任何争议发生或正在进行仲裁或诉讼时，除争议的事项外，双方仍有权行使本协议项下的其他权利并应履行本协议项下的其他义务。</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十二、协议期限</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1</w:t>
      </w:r>
      <w:r>
        <w:rPr>
          <w:rFonts w:hint="eastAsia" w:ascii="仿宋_GB2312" w:hAnsi="宋体" w:eastAsia="仿宋_GB2312"/>
          <w:szCs w:val="21"/>
        </w:rPr>
        <w:t>2</w:t>
      </w:r>
      <w:r>
        <w:rPr>
          <w:rFonts w:ascii="仿宋_GB2312" w:hAnsi="宋体" w:eastAsia="仿宋_GB2312"/>
          <w:szCs w:val="21"/>
        </w:rPr>
        <w:t xml:space="preserve">.1 </w:t>
      </w:r>
      <w:r>
        <w:rPr>
          <w:rFonts w:hint="eastAsia" w:ascii="仿宋_GB2312" w:hAnsi="宋体" w:eastAsia="仿宋_GB2312"/>
          <w:szCs w:val="21"/>
        </w:rPr>
        <w:t>本协议有效期限自    年  月  日起至     年  月  日止。</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1</w:t>
      </w:r>
      <w:r>
        <w:rPr>
          <w:rFonts w:hint="eastAsia" w:ascii="仿宋_GB2312" w:hAnsi="宋体" w:eastAsia="仿宋_GB2312"/>
          <w:szCs w:val="21"/>
        </w:rPr>
        <w:t>2</w:t>
      </w:r>
      <w:r>
        <w:rPr>
          <w:rFonts w:ascii="仿宋_GB2312" w:hAnsi="宋体" w:eastAsia="仿宋_GB2312"/>
          <w:szCs w:val="21"/>
        </w:rPr>
        <w:t xml:space="preserve">.2 </w:t>
      </w:r>
      <w:r>
        <w:rPr>
          <w:rFonts w:hint="eastAsia" w:ascii="仿宋_GB2312" w:hAnsi="宋体" w:eastAsia="仿宋_GB2312"/>
          <w:szCs w:val="21"/>
        </w:rPr>
        <w:t>除本协议另有约定外，若任何一方决定不再续签本协议的，须在本协议期限届满前30通知另外一方，否则本协议自动延续壹年。</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十三、其他</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1</w:t>
      </w:r>
      <w:r>
        <w:rPr>
          <w:rFonts w:hint="eastAsia" w:ascii="仿宋_GB2312" w:hAnsi="宋体" w:eastAsia="仿宋_GB2312"/>
          <w:szCs w:val="21"/>
        </w:rPr>
        <w:t>3</w:t>
      </w:r>
      <w:r>
        <w:rPr>
          <w:rFonts w:ascii="仿宋_GB2312" w:hAnsi="宋体" w:eastAsia="仿宋_GB2312"/>
          <w:szCs w:val="21"/>
        </w:rPr>
        <w:t xml:space="preserve">.1 </w:t>
      </w:r>
      <w:r>
        <w:rPr>
          <w:rFonts w:hint="eastAsia" w:ascii="仿宋_GB2312" w:hAnsi="宋体" w:eastAsia="仿宋_GB2312"/>
          <w:szCs w:val="21"/>
        </w:rPr>
        <w:t>甲方仅为乙方的合作商户，非乙方的委托代理人。甲方不得以乙方或乙方代理人的名义对外实施任何行为，亦不得代为乙方实施任何行为。</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1</w:t>
      </w:r>
      <w:r>
        <w:rPr>
          <w:rFonts w:hint="eastAsia" w:ascii="仿宋_GB2312" w:hAnsi="宋体" w:eastAsia="仿宋_GB2312"/>
          <w:szCs w:val="21"/>
        </w:rPr>
        <w:t>3</w:t>
      </w:r>
      <w:r>
        <w:rPr>
          <w:rFonts w:ascii="仿宋_GB2312" w:hAnsi="宋体" w:eastAsia="仿宋_GB2312"/>
          <w:szCs w:val="21"/>
        </w:rPr>
        <w:t xml:space="preserve">.2 </w:t>
      </w:r>
      <w:r>
        <w:rPr>
          <w:rFonts w:hint="eastAsia" w:ascii="仿宋_GB2312" w:hAnsi="宋体" w:eastAsia="仿宋_GB2312"/>
          <w:szCs w:val="21"/>
        </w:rPr>
        <w:t>甲方承诺并保证，其员工将严格遵循本协议约定，其员工的行为即为甲方的行为，甲方须承担因此产生的一切责任。</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1</w:t>
      </w:r>
      <w:r>
        <w:rPr>
          <w:rFonts w:hint="eastAsia" w:ascii="仿宋_GB2312" w:hAnsi="宋体" w:eastAsia="仿宋_GB2312"/>
          <w:szCs w:val="21"/>
        </w:rPr>
        <w:t>3</w:t>
      </w:r>
      <w:r>
        <w:rPr>
          <w:rFonts w:ascii="仿宋_GB2312" w:hAnsi="宋体" w:eastAsia="仿宋_GB2312"/>
          <w:szCs w:val="21"/>
        </w:rPr>
        <w:t xml:space="preserve">.3 </w:t>
      </w:r>
      <w:r>
        <w:rPr>
          <w:rFonts w:hint="eastAsia" w:ascii="仿宋_GB2312" w:hAnsi="宋体" w:eastAsia="仿宋_GB2312"/>
          <w:szCs w:val="21"/>
        </w:rPr>
        <w:t>本协议适用中华人民共和国法律并据其解释。</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1</w:t>
      </w:r>
      <w:r>
        <w:rPr>
          <w:rFonts w:hint="eastAsia" w:ascii="仿宋_GB2312" w:hAnsi="宋体" w:eastAsia="仿宋_GB2312"/>
          <w:szCs w:val="21"/>
        </w:rPr>
        <w:t>3</w:t>
      </w:r>
      <w:r>
        <w:rPr>
          <w:rFonts w:ascii="仿宋_GB2312" w:hAnsi="宋体" w:eastAsia="仿宋_GB2312"/>
          <w:szCs w:val="21"/>
        </w:rPr>
        <w:t>.4</w:t>
      </w:r>
      <w:r>
        <w:rPr>
          <w:rFonts w:hint="eastAsia" w:ascii="仿宋_GB2312" w:hAnsi="宋体" w:eastAsia="仿宋_GB2312"/>
          <w:szCs w:val="21"/>
        </w:rPr>
        <w:t>本协议条款系双方经充分协商一致后达成的真实意思表示，本协议在履行过程中如有未尽事宜，或因业务发展需要对本协议现有内容进行补充、变更时，任一方可提出补充、变更的建议和方案，经双方协商并达成统一意见后，以书面形式表达，经双方同意并签字盖章后，成为本协议的有效补充，补充协议与本协议不同的，以补充协议为准。</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1</w:t>
      </w:r>
      <w:r>
        <w:rPr>
          <w:rFonts w:hint="eastAsia" w:ascii="仿宋_GB2312" w:hAnsi="宋体" w:eastAsia="仿宋_GB2312"/>
          <w:szCs w:val="21"/>
        </w:rPr>
        <w:t>3</w:t>
      </w:r>
      <w:r>
        <w:rPr>
          <w:rFonts w:ascii="仿宋_GB2312" w:hAnsi="宋体" w:eastAsia="仿宋_GB2312"/>
          <w:szCs w:val="21"/>
        </w:rPr>
        <w:t xml:space="preserve">.5 </w:t>
      </w:r>
      <w:r>
        <w:rPr>
          <w:rFonts w:hint="eastAsia" w:ascii="仿宋_GB2312" w:hAnsi="宋体" w:eastAsia="仿宋_GB2312"/>
          <w:szCs w:val="21"/>
        </w:rPr>
        <w:t>若相关规定发生的变动涉及双方合作内容的，甲方有义务配合乙方予以相应变更。</w:t>
      </w:r>
    </w:p>
    <w:p>
      <w:pPr>
        <w:adjustRightInd w:val="0"/>
        <w:snapToGrid w:val="0"/>
        <w:ind w:firstLine="525" w:firstLineChars="250"/>
        <w:jc w:val="left"/>
        <w:rPr>
          <w:rFonts w:ascii="仿宋_GB2312" w:hAnsi="宋体" w:eastAsia="仿宋_GB2312"/>
          <w:szCs w:val="21"/>
        </w:rPr>
      </w:pPr>
      <w:r>
        <w:rPr>
          <w:rFonts w:ascii="仿宋_GB2312" w:hAnsi="宋体" w:eastAsia="仿宋_GB2312"/>
          <w:szCs w:val="21"/>
        </w:rPr>
        <w:t>1</w:t>
      </w:r>
      <w:r>
        <w:rPr>
          <w:rFonts w:hint="eastAsia" w:ascii="仿宋_GB2312" w:hAnsi="宋体" w:eastAsia="仿宋_GB2312"/>
          <w:szCs w:val="21"/>
        </w:rPr>
        <w:t>3</w:t>
      </w:r>
      <w:r>
        <w:rPr>
          <w:rFonts w:ascii="仿宋_GB2312" w:hAnsi="宋体" w:eastAsia="仿宋_GB2312"/>
          <w:szCs w:val="21"/>
        </w:rPr>
        <w:t>.6</w:t>
      </w:r>
      <w:r>
        <w:rPr>
          <w:rFonts w:hint="eastAsia" w:ascii="仿宋_GB2312" w:hAnsi="宋体" w:eastAsia="仿宋_GB2312"/>
          <w:szCs w:val="21"/>
        </w:rPr>
        <w:t>本协议于双方签署后生效。本协议一式叁份，甲方执壹份、乙方执贰份，具有同等法律效力。</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（以下无正文）</w:t>
      </w: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 xml:space="preserve">甲方（盖章）：临沂至航国际贸易有限公司     </w:t>
      </w:r>
      <w:r>
        <w:rPr>
          <w:rFonts w:hint="eastAsia" w:ascii="仿宋_GB2312" w:hAnsi="宋体" w:eastAsia="仿宋_GB2312"/>
          <w:szCs w:val="21"/>
          <w:lang w:val="en-US" w:eastAsia="zh-CN"/>
        </w:rPr>
        <w:t xml:space="preserve">  </w:t>
      </w:r>
      <w:r>
        <w:rPr>
          <w:rFonts w:hint="eastAsia" w:ascii="仿宋_GB2312" w:hAnsi="宋体" w:eastAsia="仿宋_GB2312"/>
          <w:szCs w:val="21"/>
        </w:rPr>
        <w:t>乙方（盖章）：易联支付有限公司</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法定代表人或授权代表人：                    法定代表人或授权代表人：</w:t>
      </w:r>
    </w:p>
    <w:p>
      <w:pPr>
        <w:adjustRightInd w:val="0"/>
        <w:snapToGrid w:val="0"/>
        <w:ind w:firstLine="525" w:firstLineChars="250"/>
        <w:jc w:val="left"/>
        <w:rPr>
          <w:rFonts w:ascii="仿宋_GB2312" w:hAnsi="宋体" w:eastAsia="仿宋_GB2312"/>
          <w:szCs w:val="21"/>
        </w:rPr>
      </w:pPr>
      <w:r>
        <w:rPr>
          <w:rFonts w:hint="eastAsia" w:ascii="仿宋_GB2312" w:hAnsi="宋体" w:eastAsia="仿宋_GB2312"/>
          <w:szCs w:val="21"/>
        </w:rPr>
        <w:t>日期：                                      日期：</w:t>
      </w:r>
    </w:p>
    <w:p>
      <w:pPr>
        <w:adjustRightInd w:val="0"/>
        <w:snapToGrid w:val="0"/>
        <w:ind w:firstLine="525" w:firstLineChars="250"/>
        <w:jc w:val="left"/>
        <w:rPr>
          <w:rFonts w:ascii="仿宋_GB2312" w:hAnsi="宋体" w:eastAsia="仿宋_GB2312"/>
          <w:szCs w:val="21"/>
        </w:rPr>
      </w:pPr>
    </w:p>
    <w:p>
      <w:pPr>
        <w:tabs>
          <w:tab w:val="left" w:pos="426"/>
        </w:tabs>
        <w:jc w:val="left"/>
        <w:rPr>
          <w:rFonts w:ascii="宋体"/>
          <w:szCs w:val="21"/>
        </w:rPr>
        <w:sectPr>
          <w:headerReference r:id="rId3" w:type="default"/>
          <w:pgSz w:w="11906" w:h="16838"/>
          <w:pgMar w:top="1440" w:right="1134" w:bottom="1440" w:left="1134" w:header="851" w:footer="789" w:gutter="0"/>
          <w:cols w:space="720" w:num="1"/>
          <w:docGrid w:type="lines" w:linePitch="312" w:charSpace="0"/>
        </w:sectPr>
      </w:pPr>
    </w:p>
    <w:p>
      <w:pPr>
        <w:tabs>
          <w:tab w:val="left" w:pos="426"/>
        </w:tabs>
        <w:spacing w:line="360" w:lineRule="exact"/>
        <w:jc w:val="left"/>
        <w:rPr>
          <w:rFonts w:ascii="宋体" w:hAnsi="宋体" w:cs="Arial"/>
          <w:b/>
          <w:szCs w:val="21"/>
          <w:u w:color="000000"/>
        </w:rPr>
      </w:pPr>
    </w:p>
    <w:p>
      <w:pPr>
        <w:tabs>
          <w:tab w:val="left" w:pos="426"/>
        </w:tabs>
        <w:spacing w:line="360" w:lineRule="exact"/>
        <w:jc w:val="left"/>
        <w:rPr>
          <w:rFonts w:ascii="宋体" w:hAnsi="宋体" w:cs="Arial"/>
          <w:b/>
          <w:szCs w:val="21"/>
          <w:u w:color="000000"/>
        </w:rPr>
      </w:pPr>
      <w:r>
        <w:rPr>
          <w:rFonts w:hint="eastAsia" w:ascii="宋体" w:hAnsi="宋体" w:cs="Arial"/>
          <w:b/>
          <w:szCs w:val="21"/>
          <w:u w:color="000000"/>
        </w:rPr>
        <w:t>附件1</w:t>
      </w:r>
    </w:p>
    <w:p>
      <w:pPr>
        <w:tabs>
          <w:tab w:val="left" w:pos="426"/>
        </w:tabs>
        <w:spacing w:line="360" w:lineRule="exact"/>
        <w:jc w:val="center"/>
        <w:rPr>
          <w:rFonts w:ascii="宋体" w:hAnsi="宋体" w:cs="Arial"/>
          <w:b/>
          <w:sz w:val="24"/>
          <w:szCs w:val="24"/>
          <w:u w:color="000000"/>
        </w:rPr>
      </w:pPr>
      <w:r>
        <w:rPr>
          <w:rFonts w:hint="eastAsia" w:ascii="宋体" w:hAnsi="宋体" w:cs="Arial"/>
          <w:b/>
          <w:sz w:val="24"/>
          <w:szCs w:val="24"/>
          <w:u w:color="000000"/>
        </w:rPr>
        <w:t>代收代付协议签约表</w:t>
      </w:r>
    </w:p>
    <w:p>
      <w:pPr>
        <w:tabs>
          <w:tab w:val="left" w:pos="426"/>
        </w:tabs>
        <w:spacing w:line="360" w:lineRule="exact"/>
        <w:jc w:val="center"/>
        <w:rPr>
          <w:rFonts w:ascii="宋体" w:hAnsi="宋体" w:cs="Arial"/>
          <w:b/>
          <w:sz w:val="24"/>
          <w:szCs w:val="24"/>
          <w:u w:color="000000"/>
        </w:rPr>
      </w:pPr>
    </w:p>
    <w:p>
      <w:pPr>
        <w:adjustRightInd w:val="0"/>
        <w:snapToGrid w:val="0"/>
        <w:rPr>
          <w:rFonts w:ascii="华文细黑" w:hAnsi="华文细黑" w:eastAsia="华文细黑"/>
          <w:szCs w:val="21"/>
        </w:rPr>
      </w:pPr>
      <w:r>
        <w:rPr>
          <w:rFonts w:hint="eastAsia" w:ascii="华文细黑" w:hAnsi="华文细黑" w:eastAsia="华文细黑"/>
          <w:szCs w:val="21"/>
        </w:rPr>
        <w:t>注:</w:t>
      </w:r>
      <w:r>
        <w:rPr>
          <w:rFonts w:hint="eastAsia" w:ascii="宋体" w:hAnsi="宋体"/>
          <w:szCs w:val="21"/>
        </w:rPr>
        <w:t xml:space="preserve"> </w:t>
      </w:r>
      <w:r>
        <w:rPr>
          <w:rFonts w:hint="eastAsia" w:ascii="宋体" w:hAnsi="宋体"/>
          <w:color w:val="FF0000"/>
          <w:szCs w:val="21"/>
        </w:rPr>
        <w:t>*</w:t>
      </w:r>
      <w:r>
        <w:rPr>
          <w:rFonts w:hint="eastAsia" w:ascii="宋体" w:hAnsi="宋体"/>
          <w:szCs w:val="21"/>
        </w:rPr>
        <w:t>为必填项</w:t>
      </w:r>
    </w:p>
    <w:tbl>
      <w:tblPr>
        <w:tblStyle w:val="10"/>
        <w:tblpPr w:leftFromText="180" w:rightFromText="180" w:vertAnchor="text" w:horzAnchor="margin" w:tblpX="-318" w:tblpY="495"/>
        <w:tblW w:w="14330" w:type="dxa"/>
        <w:tblInd w:w="0" w:type="dxa"/>
        <w:tblLayout w:type="fixed"/>
        <w:tblCellMar>
          <w:top w:w="0" w:type="dxa"/>
          <w:left w:w="108" w:type="dxa"/>
          <w:bottom w:w="0" w:type="dxa"/>
          <w:right w:w="108" w:type="dxa"/>
        </w:tblCellMar>
      </w:tblPr>
      <w:tblGrid>
        <w:gridCol w:w="1384"/>
        <w:gridCol w:w="459"/>
        <w:gridCol w:w="675"/>
        <w:gridCol w:w="837"/>
        <w:gridCol w:w="189"/>
        <w:gridCol w:w="1488"/>
        <w:gridCol w:w="1490"/>
        <w:gridCol w:w="188"/>
        <w:gridCol w:w="1371"/>
        <w:gridCol w:w="306"/>
        <w:gridCol w:w="1678"/>
        <w:gridCol w:w="4265"/>
      </w:tblGrid>
      <w:tr>
        <w:tblPrEx>
          <w:tblCellMar>
            <w:top w:w="0" w:type="dxa"/>
            <w:left w:w="108" w:type="dxa"/>
            <w:bottom w:w="0" w:type="dxa"/>
            <w:right w:w="108" w:type="dxa"/>
          </w:tblCellMar>
        </w:tblPrEx>
        <w:trPr>
          <w:gridAfter w:val="1"/>
          <w:wAfter w:w="4265" w:type="dxa"/>
          <w:trHeight w:val="454" w:hRule="atLeast"/>
        </w:trPr>
        <w:tc>
          <w:tcPr>
            <w:tcW w:w="10065" w:type="dxa"/>
            <w:gridSpan w:val="11"/>
            <w:tcBorders>
              <w:top w:val="single" w:color="000000" w:sz="4" w:space="0"/>
              <w:left w:val="double" w:color="auto" w:sz="4" w:space="0"/>
              <w:bottom w:val="single" w:color="000000" w:sz="4" w:space="0"/>
              <w:right w:val="double" w:color="auto" w:sz="4" w:space="0"/>
            </w:tcBorders>
            <w:shd w:val="clear" w:color="auto" w:fill="D9D9D9"/>
            <w:vAlign w:val="center"/>
          </w:tcPr>
          <w:p>
            <w:pPr>
              <w:jc w:val="center"/>
              <w:rPr>
                <w:b/>
                <w:szCs w:val="21"/>
              </w:rPr>
            </w:pPr>
            <w:r>
              <w:rPr>
                <w:rFonts w:hint="eastAsia"/>
                <w:b/>
                <w:szCs w:val="21"/>
              </w:rPr>
              <w:t>甲方基本信息</w:t>
            </w:r>
          </w:p>
        </w:tc>
      </w:tr>
      <w:tr>
        <w:tblPrEx>
          <w:tblCellMar>
            <w:top w:w="0" w:type="dxa"/>
            <w:left w:w="108" w:type="dxa"/>
            <w:bottom w:w="0" w:type="dxa"/>
            <w:right w:w="108" w:type="dxa"/>
          </w:tblCellMar>
        </w:tblPrEx>
        <w:trPr>
          <w:gridAfter w:val="1"/>
          <w:wAfter w:w="4265" w:type="dxa"/>
          <w:trHeight w:val="381" w:hRule="atLeast"/>
        </w:trPr>
        <w:tc>
          <w:tcPr>
            <w:tcW w:w="2518" w:type="dxa"/>
            <w:gridSpan w:val="3"/>
            <w:tcBorders>
              <w:top w:val="single" w:color="000000" w:sz="4" w:space="0"/>
              <w:left w:val="double" w:color="auto" w:sz="4" w:space="0"/>
              <w:bottom w:val="single" w:color="auto" w:sz="4" w:space="0"/>
              <w:right w:val="single" w:color="000000" w:sz="4" w:space="0"/>
            </w:tcBorders>
            <w:shd w:val="clear" w:color="auto" w:fill="auto"/>
            <w:vAlign w:val="center"/>
          </w:tcPr>
          <w:p>
            <w:pPr>
              <w:rPr>
                <w:rFonts w:ascii="宋体" w:hAnsi="宋体"/>
                <w:color w:val="FF0000"/>
                <w:szCs w:val="21"/>
              </w:rPr>
            </w:pPr>
            <w:r>
              <w:rPr>
                <w:rFonts w:hint="eastAsia"/>
                <w:szCs w:val="21"/>
              </w:rPr>
              <w:t>甲    方</w:t>
            </w:r>
            <w:r>
              <w:rPr>
                <w:rFonts w:hint="eastAsia" w:ascii="宋体" w:hAnsi="宋体"/>
                <w:color w:val="FF0000"/>
                <w:szCs w:val="21"/>
              </w:rPr>
              <w:t>*</w:t>
            </w:r>
          </w:p>
          <w:p>
            <w:pPr>
              <w:rPr>
                <w:szCs w:val="21"/>
              </w:rPr>
            </w:pPr>
            <w:r>
              <w:rPr>
                <w:rFonts w:hint="eastAsia" w:ascii="宋体" w:hAnsi="宋体"/>
                <w:color w:val="FF0000"/>
                <w:szCs w:val="21"/>
              </w:rPr>
              <w:t>（填写贵公司名称）</w:t>
            </w:r>
          </w:p>
        </w:tc>
        <w:tc>
          <w:tcPr>
            <w:tcW w:w="7547" w:type="dxa"/>
            <w:gridSpan w:val="8"/>
            <w:tcBorders>
              <w:top w:val="single" w:color="000000" w:sz="4" w:space="0"/>
              <w:left w:val="single" w:color="000000" w:sz="4" w:space="0"/>
              <w:bottom w:val="single" w:color="auto" w:sz="4" w:space="0"/>
              <w:right w:val="double" w:color="auto" w:sz="4" w:space="0"/>
            </w:tcBorders>
            <w:shd w:val="clear" w:color="auto" w:fill="auto"/>
            <w:vAlign w:val="center"/>
          </w:tcPr>
          <w:p>
            <w:pPr>
              <w:rPr>
                <w:szCs w:val="21"/>
              </w:rPr>
            </w:pPr>
            <w:r>
              <w:rPr>
                <w:rFonts w:hint="eastAsia"/>
                <w:szCs w:val="21"/>
              </w:rPr>
              <w:t>临沂至航国际贸易有限公司</w:t>
            </w:r>
          </w:p>
        </w:tc>
      </w:tr>
      <w:tr>
        <w:tblPrEx>
          <w:tblCellMar>
            <w:top w:w="0" w:type="dxa"/>
            <w:left w:w="108" w:type="dxa"/>
            <w:bottom w:w="0" w:type="dxa"/>
            <w:right w:w="108" w:type="dxa"/>
          </w:tblCellMar>
        </w:tblPrEx>
        <w:trPr>
          <w:gridAfter w:val="1"/>
          <w:wAfter w:w="4265" w:type="dxa"/>
          <w:trHeight w:val="454" w:hRule="atLeast"/>
        </w:trPr>
        <w:tc>
          <w:tcPr>
            <w:tcW w:w="2518" w:type="dxa"/>
            <w:gridSpan w:val="3"/>
            <w:tcBorders>
              <w:top w:val="nil"/>
              <w:left w:val="double" w:color="auto" w:sz="4" w:space="0"/>
              <w:bottom w:val="single" w:color="auto" w:sz="4" w:space="0"/>
              <w:right w:val="single" w:color="auto" w:sz="4" w:space="0"/>
            </w:tcBorders>
            <w:shd w:val="clear" w:color="auto" w:fill="auto"/>
            <w:vAlign w:val="center"/>
          </w:tcPr>
          <w:p>
            <w:pPr>
              <w:rPr>
                <w:szCs w:val="21"/>
              </w:rPr>
            </w:pPr>
            <w:r>
              <w:rPr>
                <w:rFonts w:hint="eastAsia"/>
                <w:szCs w:val="21"/>
              </w:rPr>
              <w:t>网址</w:t>
            </w:r>
          </w:p>
          <w:p>
            <w:pPr>
              <w:rPr>
                <w:color w:val="FF0000"/>
                <w:szCs w:val="21"/>
              </w:rPr>
            </w:pPr>
            <w:r>
              <w:rPr>
                <w:rFonts w:hint="eastAsia"/>
                <w:color w:val="FF0000"/>
                <w:szCs w:val="21"/>
              </w:rPr>
              <w:t>（若是PC端对接易联支付,该字段必填）</w:t>
            </w:r>
          </w:p>
        </w:tc>
        <w:tc>
          <w:tcPr>
            <w:tcW w:w="4004" w:type="dxa"/>
            <w:gridSpan w:val="4"/>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559" w:type="dxa"/>
            <w:gridSpan w:val="2"/>
            <w:tcBorders>
              <w:top w:val="single" w:color="auto" w:sz="4" w:space="0"/>
              <w:left w:val="nil"/>
              <w:bottom w:val="single" w:color="auto" w:sz="4" w:space="0"/>
              <w:right w:val="double" w:color="auto" w:sz="4" w:space="0"/>
            </w:tcBorders>
            <w:shd w:val="clear" w:color="auto" w:fill="auto"/>
            <w:vAlign w:val="center"/>
          </w:tcPr>
          <w:p>
            <w:pPr>
              <w:jc w:val="center"/>
              <w:rPr>
                <w:szCs w:val="21"/>
              </w:rPr>
            </w:pPr>
            <w:r>
              <w:rPr>
                <w:szCs w:val="21"/>
              </w:rPr>
              <w:t>服务热线</w:t>
            </w:r>
          </w:p>
        </w:tc>
        <w:tc>
          <w:tcPr>
            <w:tcW w:w="1984" w:type="dxa"/>
            <w:gridSpan w:val="2"/>
            <w:tcBorders>
              <w:top w:val="single" w:color="auto" w:sz="4" w:space="0"/>
              <w:left w:val="nil"/>
              <w:bottom w:val="single" w:color="auto" w:sz="4" w:space="0"/>
              <w:right w:val="double" w:color="auto" w:sz="4" w:space="0"/>
            </w:tcBorders>
            <w:shd w:val="clear" w:color="auto" w:fill="auto"/>
            <w:vAlign w:val="center"/>
          </w:tcPr>
          <w:p>
            <w:pPr>
              <w:rPr>
                <w:szCs w:val="21"/>
              </w:rPr>
            </w:pPr>
            <w:r>
              <w:rPr>
                <w:rFonts w:hint="eastAsia"/>
                <w:szCs w:val="21"/>
              </w:rPr>
              <w:t>19118244113</w:t>
            </w:r>
          </w:p>
        </w:tc>
      </w:tr>
      <w:tr>
        <w:tblPrEx>
          <w:tblCellMar>
            <w:top w:w="0" w:type="dxa"/>
            <w:left w:w="108" w:type="dxa"/>
            <w:bottom w:w="0" w:type="dxa"/>
            <w:right w:w="108" w:type="dxa"/>
          </w:tblCellMar>
        </w:tblPrEx>
        <w:trPr>
          <w:gridAfter w:val="1"/>
          <w:wAfter w:w="4265" w:type="dxa"/>
          <w:trHeight w:val="454" w:hRule="atLeast"/>
        </w:trPr>
        <w:tc>
          <w:tcPr>
            <w:tcW w:w="2518" w:type="dxa"/>
            <w:gridSpan w:val="3"/>
            <w:tcBorders>
              <w:top w:val="nil"/>
              <w:left w:val="double" w:color="auto" w:sz="4" w:space="0"/>
              <w:bottom w:val="single" w:color="auto" w:sz="4" w:space="0"/>
              <w:right w:val="single" w:color="auto" w:sz="4" w:space="0"/>
            </w:tcBorders>
            <w:shd w:val="clear" w:color="auto" w:fill="auto"/>
            <w:vAlign w:val="center"/>
          </w:tcPr>
          <w:p>
            <w:pPr>
              <w:rPr>
                <w:szCs w:val="21"/>
              </w:rPr>
            </w:pPr>
            <w:r>
              <w:rPr>
                <w:rFonts w:hint="eastAsia"/>
                <w:szCs w:val="21"/>
              </w:rPr>
              <w:t>账户登录号码（11位）</w:t>
            </w:r>
          </w:p>
          <w:p>
            <w:pPr>
              <w:rPr>
                <w:color w:val="FF0000"/>
                <w:szCs w:val="21"/>
              </w:rPr>
            </w:pPr>
            <w:r>
              <w:rPr>
                <w:rFonts w:hint="eastAsia"/>
                <w:color w:val="FF0000"/>
                <w:szCs w:val="21"/>
              </w:rPr>
              <w:t>（填写主要联系人号码）</w:t>
            </w:r>
          </w:p>
        </w:tc>
        <w:tc>
          <w:tcPr>
            <w:tcW w:w="4004" w:type="dxa"/>
            <w:gridSpan w:val="4"/>
            <w:tcBorders>
              <w:top w:val="single" w:color="auto" w:sz="4" w:space="0"/>
              <w:left w:val="nil"/>
              <w:bottom w:val="single" w:color="auto" w:sz="4" w:space="0"/>
              <w:right w:val="double" w:color="auto" w:sz="4" w:space="0"/>
            </w:tcBorders>
            <w:shd w:val="clear" w:color="auto" w:fill="auto"/>
            <w:vAlign w:val="center"/>
          </w:tcPr>
          <w:p>
            <w:pPr>
              <w:rPr>
                <w:szCs w:val="21"/>
              </w:rPr>
            </w:pPr>
            <w:r>
              <w:rPr>
                <w:rFonts w:hint="eastAsia"/>
                <w:szCs w:val="21"/>
              </w:rPr>
              <w:t>19118244113</w:t>
            </w:r>
          </w:p>
        </w:tc>
        <w:tc>
          <w:tcPr>
            <w:tcW w:w="1559" w:type="dxa"/>
            <w:gridSpan w:val="2"/>
            <w:tcBorders>
              <w:top w:val="single" w:color="auto" w:sz="4" w:space="0"/>
              <w:left w:val="nil"/>
              <w:bottom w:val="single" w:color="auto" w:sz="4" w:space="0"/>
              <w:right w:val="double" w:color="auto" w:sz="4" w:space="0"/>
            </w:tcBorders>
            <w:shd w:val="clear" w:color="auto" w:fill="auto"/>
            <w:vAlign w:val="center"/>
          </w:tcPr>
          <w:p>
            <w:pPr>
              <w:jc w:val="center"/>
              <w:rPr>
                <w:szCs w:val="21"/>
              </w:rPr>
            </w:pPr>
            <w:r>
              <w:rPr>
                <w:szCs w:val="21"/>
              </w:rPr>
              <w:t>传真号码</w:t>
            </w:r>
          </w:p>
        </w:tc>
        <w:tc>
          <w:tcPr>
            <w:tcW w:w="1984" w:type="dxa"/>
            <w:gridSpan w:val="2"/>
            <w:tcBorders>
              <w:top w:val="single" w:color="auto" w:sz="4" w:space="0"/>
              <w:left w:val="nil"/>
              <w:bottom w:val="single" w:color="auto" w:sz="4" w:space="0"/>
              <w:right w:val="double" w:color="auto" w:sz="4" w:space="0"/>
            </w:tcBorders>
            <w:shd w:val="clear" w:color="auto" w:fill="auto"/>
            <w:vAlign w:val="center"/>
          </w:tcPr>
          <w:p>
            <w:pPr>
              <w:rPr>
                <w:szCs w:val="21"/>
              </w:rPr>
            </w:pPr>
          </w:p>
        </w:tc>
      </w:tr>
      <w:tr>
        <w:tblPrEx>
          <w:tblCellMar>
            <w:top w:w="0" w:type="dxa"/>
            <w:left w:w="108" w:type="dxa"/>
            <w:bottom w:w="0" w:type="dxa"/>
            <w:right w:w="108" w:type="dxa"/>
          </w:tblCellMar>
        </w:tblPrEx>
        <w:trPr>
          <w:trHeight w:val="454" w:hRule="atLeast"/>
        </w:trPr>
        <w:tc>
          <w:tcPr>
            <w:tcW w:w="2518" w:type="dxa"/>
            <w:gridSpan w:val="3"/>
            <w:tcBorders>
              <w:top w:val="nil"/>
              <w:left w:val="double" w:color="auto" w:sz="4" w:space="0"/>
              <w:bottom w:val="single" w:color="auto" w:sz="4" w:space="0"/>
              <w:right w:val="single" w:color="auto" w:sz="4" w:space="0"/>
            </w:tcBorders>
            <w:shd w:val="clear" w:color="auto" w:fill="auto"/>
            <w:vAlign w:val="center"/>
          </w:tcPr>
          <w:p>
            <w:pPr>
              <w:rPr>
                <w:rFonts w:ascii="宋体" w:hAnsi="宋体"/>
                <w:color w:val="FF0000"/>
                <w:szCs w:val="21"/>
              </w:rPr>
            </w:pPr>
            <w:r>
              <w:rPr>
                <w:rFonts w:hint="eastAsia"/>
                <w:szCs w:val="21"/>
              </w:rPr>
              <w:t>合作行业</w:t>
            </w:r>
            <w:r>
              <w:rPr>
                <w:rFonts w:hint="eastAsia" w:ascii="宋体" w:hAnsi="宋体"/>
                <w:color w:val="FF0000"/>
                <w:szCs w:val="21"/>
              </w:rPr>
              <w:t>*</w:t>
            </w:r>
          </w:p>
          <w:p>
            <w:pPr>
              <w:rPr>
                <w:szCs w:val="21"/>
              </w:rPr>
            </w:pPr>
            <w:r>
              <w:rPr>
                <w:rFonts w:hint="eastAsia" w:ascii="宋体" w:hAnsi="宋体"/>
                <w:color w:val="FF0000"/>
                <w:szCs w:val="21"/>
              </w:rPr>
              <w:t>（填写对接易联支付的业务场景所属行业）</w:t>
            </w:r>
          </w:p>
        </w:tc>
        <w:tc>
          <w:tcPr>
            <w:tcW w:w="7547" w:type="dxa"/>
            <w:gridSpan w:val="8"/>
            <w:tcBorders>
              <w:top w:val="single" w:color="auto" w:sz="4" w:space="0"/>
              <w:left w:val="nil"/>
              <w:bottom w:val="single" w:color="auto" w:sz="4" w:space="0"/>
              <w:right w:val="double" w:color="auto" w:sz="4" w:space="0"/>
            </w:tcBorders>
            <w:shd w:val="clear" w:color="auto" w:fill="auto"/>
            <w:vAlign w:val="center"/>
          </w:tcPr>
          <w:p>
            <w:pPr>
              <w:rPr>
                <w:szCs w:val="21"/>
              </w:rPr>
            </w:pPr>
            <w:r>
              <w:rPr>
                <w:rFonts w:hint="eastAsia" w:ascii="宋体" w:hAnsi="宋体"/>
                <w:szCs w:val="21"/>
              </w:rPr>
              <w:t>双方同意在</w:t>
            </w:r>
            <w:r>
              <w:rPr>
                <w:rFonts w:hint="eastAsia" w:ascii="宋体" w:hAnsi="宋体"/>
                <w:szCs w:val="21"/>
                <w:u w:val="single"/>
              </w:rPr>
              <w:t xml:space="preserve">  </w:t>
            </w:r>
            <w:r>
              <w:rPr>
                <w:rFonts w:hint="eastAsia" w:ascii="宋体" w:hAnsi="宋体"/>
                <w:szCs w:val="21"/>
                <w:u w:val="single"/>
                <w:lang w:val="en-US" w:eastAsia="zh-CN"/>
              </w:rPr>
              <w:t>商务贸易</w:t>
            </w:r>
            <w:r>
              <w:rPr>
                <w:rFonts w:hint="eastAsia" w:ascii="宋体" w:hAnsi="宋体"/>
                <w:szCs w:val="21"/>
                <w:u w:val="single"/>
              </w:rPr>
              <w:t xml:space="preserve">  </w:t>
            </w:r>
            <w:r>
              <w:rPr>
                <w:rFonts w:hint="eastAsia" w:ascii="宋体" w:hAnsi="宋体"/>
                <w:szCs w:val="21"/>
              </w:rPr>
              <w:t>行业内合作支付服务</w:t>
            </w:r>
          </w:p>
        </w:tc>
        <w:tc>
          <w:tcPr>
            <w:tcW w:w="4265" w:type="dxa"/>
            <w:vAlign w:val="center"/>
          </w:tcPr>
          <w:p>
            <w:pPr>
              <w:jc w:val="left"/>
              <w:rPr>
                <w:rFonts w:ascii="宋体" w:hAnsi="宋体"/>
                <w:szCs w:val="21"/>
              </w:rPr>
            </w:pPr>
          </w:p>
        </w:tc>
      </w:tr>
      <w:tr>
        <w:tblPrEx>
          <w:tblCellMar>
            <w:top w:w="0" w:type="dxa"/>
            <w:left w:w="108" w:type="dxa"/>
            <w:bottom w:w="0" w:type="dxa"/>
            <w:right w:w="108" w:type="dxa"/>
          </w:tblCellMar>
        </w:tblPrEx>
        <w:trPr>
          <w:gridAfter w:val="1"/>
          <w:wAfter w:w="4265" w:type="dxa"/>
          <w:trHeight w:val="454" w:hRule="atLeast"/>
        </w:trPr>
        <w:tc>
          <w:tcPr>
            <w:tcW w:w="10065" w:type="dxa"/>
            <w:gridSpan w:val="11"/>
            <w:tcBorders>
              <w:left w:val="double" w:color="auto" w:sz="4" w:space="0"/>
              <w:bottom w:val="single" w:color="auto" w:sz="4" w:space="0"/>
              <w:right w:val="double" w:color="auto" w:sz="4" w:space="0"/>
            </w:tcBorders>
            <w:shd w:val="clear" w:color="auto" w:fill="auto"/>
            <w:vAlign w:val="center"/>
          </w:tcPr>
          <w:p>
            <w:pPr>
              <w:rPr>
                <w:szCs w:val="21"/>
              </w:rPr>
            </w:pPr>
            <w:r>
              <w:rPr>
                <w:rFonts w:hint="eastAsia" w:ascii="楷体_GB2312" w:hAnsi="楷体_GB2312" w:eastAsia="楷体_GB2312" w:cs="楷体_GB2312"/>
                <w:szCs w:val="21"/>
              </w:rPr>
              <w:t>备注：以上请商户根据不同地区（大陆、香港、国外等）所拥有的相关资质、证书材料填写。</w:t>
            </w:r>
          </w:p>
        </w:tc>
      </w:tr>
      <w:tr>
        <w:tblPrEx>
          <w:tblCellMar>
            <w:top w:w="0" w:type="dxa"/>
            <w:left w:w="108" w:type="dxa"/>
            <w:bottom w:w="0" w:type="dxa"/>
            <w:right w:w="108" w:type="dxa"/>
          </w:tblCellMar>
        </w:tblPrEx>
        <w:trPr>
          <w:gridAfter w:val="1"/>
          <w:wAfter w:w="4265" w:type="dxa"/>
          <w:trHeight w:val="454" w:hRule="atLeast"/>
        </w:trPr>
        <w:tc>
          <w:tcPr>
            <w:tcW w:w="10065" w:type="dxa"/>
            <w:gridSpan w:val="11"/>
            <w:tcBorders>
              <w:top w:val="single" w:color="auto" w:sz="4" w:space="0"/>
              <w:left w:val="double" w:color="auto" w:sz="4" w:space="0"/>
              <w:bottom w:val="single" w:color="auto" w:sz="4" w:space="0"/>
              <w:right w:val="double" w:color="auto" w:sz="4" w:space="0"/>
            </w:tcBorders>
            <w:shd w:val="clear" w:color="auto" w:fill="D9D9D9"/>
            <w:vAlign w:val="center"/>
          </w:tcPr>
          <w:p>
            <w:pPr>
              <w:jc w:val="center"/>
              <w:rPr>
                <w:b/>
                <w:szCs w:val="21"/>
              </w:rPr>
            </w:pPr>
            <w:r>
              <w:rPr>
                <w:rFonts w:hint="eastAsia"/>
                <w:b/>
                <w:szCs w:val="21"/>
              </w:rPr>
              <w:t>开通支付方式及费用</w:t>
            </w:r>
            <w:r>
              <w:rPr>
                <w:rFonts w:hint="eastAsia" w:ascii="宋体" w:hAnsi="宋体"/>
                <w:color w:val="FF0000"/>
                <w:szCs w:val="21"/>
              </w:rPr>
              <w:t>*</w:t>
            </w:r>
            <w:r>
              <w:rPr>
                <w:rFonts w:hint="eastAsia"/>
                <w:b/>
                <w:color w:val="FF0000"/>
                <w:szCs w:val="21"/>
              </w:rPr>
              <w:t xml:space="preserve"> </w:t>
            </w:r>
            <w:r>
              <w:rPr>
                <w:rFonts w:hint="eastAsia"/>
                <w:b/>
                <w:color w:val="FF0000"/>
                <w:sz w:val="18"/>
                <w:szCs w:val="18"/>
              </w:rPr>
              <w:t>(选择对应产品,注明具体费率,并勾选对应卡种)</w:t>
            </w:r>
          </w:p>
        </w:tc>
      </w:tr>
      <w:tr>
        <w:tblPrEx>
          <w:tblCellMar>
            <w:top w:w="0" w:type="dxa"/>
            <w:left w:w="108" w:type="dxa"/>
            <w:bottom w:w="0" w:type="dxa"/>
            <w:right w:w="108" w:type="dxa"/>
          </w:tblCellMar>
        </w:tblPrEx>
        <w:trPr>
          <w:gridAfter w:val="1"/>
          <w:wAfter w:w="4265" w:type="dxa"/>
          <w:trHeight w:val="454" w:hRule="atLeast"/>
        </w:trPr>
        <w:tc>
          <w:tcPr>
            <w:tcW w:w="10065" w:type="dxa"/>
            <w:gridSpan w:val="11"/>
            <w:tcBorders>
              <w:top w:val="single" w:color="auto" w:sz="4" w:space="0"/>
              <w:left w:val="double" w:color="auto" w:sz="4" w:space="0"/>
              <w:right w:val="double" w:color="auto" w:sz="4" w:space="0"/>
            </w:tcBorders>
            <w:shd w:val="clear" w:color="auto" w:fill="auto"/>
            <w:vAlign w:val="center"/>
          </w:tcPr>
          <w:tbl>
            <w:tblPr>
              <w:tblStyle w:val="10"/>
              <w:tblW w:w="8784" w:type="dxa"/>
              <w:tblInd w:w="0" w:type="dxa"/>
              <w:tblBorders>
                <w:top w:val="single" w:color="4F81BD" w:sz="8" w:space="0"/>
                <w:left w:val="none" w:color="auto" w:sz="0" w:space="0"/>
                <w:bottom w:val="single" w:color="4F81BD"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65"/>
              <w:gridCol w:w="1746"/>
              <w:gridCol w:w="1559"/>
              <w:gridCol w:w="3114"/>
            </w:tblGrid>
            <w:tr>
              <w:tblPrEx>
                <w:tblBorders>
                  <w:top w:val="single" w:color="4F81BD" w:sz="8" w:space="0"/>
                  <w:left w:val="none" w:color="auto" w:sz="0" w:space="0"/>
                  <w:bottom w:val="single" w:color="4F81BD" w:sz="8" w:space="0"/>
                  <w:right w:val="none" w:color="auto" w:sz="0" w:space="0"/>
                  <w:insideH w:val="none" w:color="auto" w:sz="0" w:space="0"/>
                  <w:insideV w:val="none" w:color="auto" w:sz="0" w:space="0"/>
                </w:tblBorders>
              </w:tblPrEx>
              <w:tc>
                <w:tcPr>
                  <w:tcW w:w="2365" w:type="dxa"/>
                  <w:tcBorders>
                    <w:top w:val="single" w:color="4F81BD" w:sz="8" w:space="0"/>
                    <w:bottom w:val="single" w:color="4F81BD" w:sz="8" w:space="0"/>
                  </w:tcBorders>
                </w:tcPr>
                <w:p>
                  <w:pPr>
                    <w:spacing w:line="360" w:lineRule="auto"/>
                    <w:ind w:right="420"/>
                    <w:jc w:val="center"/>
                    <w:rPr>
                      <w:rFonts w:ascii="宋体" w:hAnsi="宋体"/>
                      <w:b/>
                      <w:bCs/>
                      <w:szCs w:val="21"/>
                      <w:u w:color="000000"/>
                    </w:rPr>
                  </w:pPr>
                  <w:r>
                    <w:rPr>
                      <w:rFonts w:hint="eastAsia" w:ascii="宋体" w:hAnsi="宋体"/>
                      <w:b/>
                      <w:bCs/>
                      <w:szCs w:val="21"/>
                      <w:u w:color="000000"/>
                    </w:rPr>
                    <w:t>支付方式</w:t>
                  </w:r>
                </w:p>
              </w:tc>
              <w:tc>
                <w:tcPr>
                  <w:tcW w:w="1746" w:type="dxa"/>
                  <w:tcBorders>
                    <w:top w:val="single" w:color="4F81BD" w:sz="8" w:space="0"/>
                    <w:bottom w:val="single" w:color="4F81BD" w:sz="8" w:space="0"/>
                  </w:tcBorders>
                </w:tcPr>
                <w:p>
                  <w:pPr>
                    <w:spacing w:line="360" w:lineRule="auto"/>
                    <w:ind w:right="420"/>
                    <w:jc w:val="center"/>
                    <w:rPr>
                      <w:rFonts w:ascii="宋体" w:hAnsi="宋体"/>
                      <w:b/>
                      <w:bCs/>
                      <w:szCs w:val="21"/>
                      <w:u w:color="000000"/>
                    </w:rPr>
                  </w:pPr>
                  <w:r>
                    <w:rPr>
                      <w:rFonts w:hint="eastAsia" w:ascii="宋体" w:hAnsi="宋体"/>
                      <w:b/>
                      <w:bCs/>
                      <w:szCs w:val="21"/>
                      <w:u w:color="000000"/>
                    </w:rPr>
                    <w:t>费率</w:t>
                  </w:r>
                </w:p>
              </w:tc>
              <w:tc>
                <w:tcPr>
                  <w:tcW w:w="1559" w:type="dxa"/>
                  <w:tcBorders>
                    <w:top w:val="single" w:color="4F81BD" w:sz="8" w:space="0"/>
                    <w:bottom w:val="single" w:color="4F81BD" w:sz="8" w:space="0"/>
                  </w:tcBorders>
                </w:tcPr>
                <w:p>
                  <w:pPr>
                    <w:spacing w:line="360" w:lineRule="auto"/>
                    <w:ind w:right="420"/>
                    <w:jc w:val="center"/>
                    <w:rPr>
                      <w:rFonts w:ascii="宋体" w:hAnsi="宋体"/>
                      <w:b/>
                      <w:bCs/>
                      <w:szCs w:val="21"/>
                      <w:u w:color="000000"/>
                    </w:rPr>
                  </w:pPr>
                  <w:r>
                    <w:rPr>
                      <w:rFonts w:hint="eastAsia" w:ascii="宋体" w:hAnsi="宋体"/>
                      <w:b/>
                      <w:bCs/>
                      <w:szCs w:val="21"/>
                      <w:u w:color="000000"/>
                    </w:rPr>
                    <w:t>最低收费</w:t>
                  </w:r>
                </w:p>
              </w:tc>
              <w:tc>
                <w:tcPr>
                  <w:tcW w:w="3114" w:type="dxa"/>
                  <w:tcBorders>
                    <w:top w:val="single" w:color="4F81BD" w:sz="8" w:space="0"/>
                    <w:bottom w:val="single" w:color="4F81BD" w:sz="8" w:space="0"/>
                  </w:tcBorders>
                </w:tcPr>
                <w:p>
                  <w:pPr>
                    <w:spacing w:line="360" w:lineRule="auto"/>
                    <w:ind w:right="420"/>
                    <w:jc w:val="center"/>
                    <w:rPr>
                      <w:rFonts w:ascii="宋体" w:hAnsi="宋体"/>
                      <w:b/>
                      <w:bCs/>
                      <w:szCs w:val="21"/>
                      <w:u w:color="000000"/>
                    </w:rPr>
                  </w:pPr>
                  <w:r>
                    <w:rPr>
                      <w:rFonts w:hint="eastAsia" w:ascii="宋体" w:hAnsi="宋体"/>
                      <w:b/>
                      <w:bCs/>
                      <w:szCs w:val="21"/>
                      <w:u w:color="000000"/>
                    </w:rPr>
                    <w:t>接受卡种</w:t>
                  </w:r>
                </w:p>
              </w:tc>
            </w:tr>
            <w:tr>
              <w:tblPrEx>
                <w:tblBorders>
                  <w:top w:val="single" w:color="4F81BD" w:sz="8" w:space="0"/>
                  <w:left w:val="none" w:color="auto" w:sz="0" w:space="0"/>
                  <w:bottom w:val="single" w:color="4F81BD" w:sz="8" w:space="0"/>
                  <w:right w:val="none" w:color="auto" w:sz="0" w:space="0"/>
                  <w:insideH w:val="none" w:color="auto" w:sz="0" w:space="0"/>
                  <w:insideV w:val="none" w:color="auto" w:sz="0" w:space="0"/>
                </w:tblBorders>
              </w:tblPrEx>
              <w:tc>
                <w:tcPr>
                  <w:tcW w:w="2365" w:type="dxa"/>
                  <w:shd w:val="clear" w:color="auto" w:fill="D3DFEE"/>
                </w:tcPr>
                <w:p>
                  <w:pPr>
                    <w:spacing w:line="360" w:lineRule="auto"/>
                    <w:ind w:right="420"/>
                    <w:jc w:val="center"/>
                    <w:rPr>
                      <w:rFonts w:ascii="宋体" w:hAnsi="宋体"/>
                      <w:b/>
                      <w:bCs/>
                      <w:szCs w:val="21"/>
                      <w:u w:color="000000"/>
                    </w:rPr>
                  </w:pPr>
                  <w:r>
                    <w:rPr>
                      <w:rFonts w:hint="eastAsia" w:ascii="宋体" w:hAnsi="宋体"/>
                      <w:b/>
                      <w:bCs/>
                      <w:szCs w:val="21"/>
                      <w:u w:color="000000"/>
                    </w:rPr>
                    <w:t>（</w:t>
                  </w:r>
                  <w:r>
                    <w:rPr>
                      <w:rFonts w:hint="eastAsia" w:ascii="宋体" w:hAnsi="宋体"/>
                      <w:b/>
                      <w:bCs/>
                      <w:szCs w:val="21"/>
                      <w:u w:color="000000"/>
                      <w:lang w:val="en-US" w:eastAsia="zh-CN"/>
                    </w:rPr>
                    <w:t xml:space="preserve"> </w:t>
                  </w:r>
                  <w:r>
                    <w:rPr>
                      <w:rFonts w:hint="default" w:ascii="Arial" w:hAnsi="Arial" w:cs="Arial"/>
                      <w:b/>
                      <w:bCs/>
                      <w:szCs w:val="21"/>
                      <w:u w:color="000000"/>
                    </w:rPr>
                    <w:t>√</w:t>
                  </w:r>
                  <w:r>
                    <w:rPr>
                      <w:rFonts w:hint="eastAsia" w:ascii="宋体" w:hAnsi="宋体"/>
                      <w:b/>
                      <w:bCs/>
                      <w:szCs w:val="21"/>
                      <w:u w:color="000000"/>
                    </w:rPr>
                    <w:t xml:space="preserve"> ）代付业务</w:t>
                  </w:r>
                </w:p>
              </w:tc>
              <w:tc>
                <w:tcPr>
                  <w:tcW w:w="1746" w:type="dxa"/>
                  <w:tcBorders>
                    <w:left w:val="nil"/>
                    <w:right w:val="nil"/>
                  </w:tcBorders>
                  <w:shd w:val="clear" w:color="auto" w:fill="D3DFEE"/>
                </w:tcPr>
                <w:p>
                  <w:pPr>
                    <w:spacing w:line="360" w:lineRule="auto"/>
                    <w:ind w:right="420"/>
                    <w:jc w:val="center"/>
                    <w:rPr>
                      <w:rFonts w:ascii="宋体" w:hAnsi="宋体"/>
                      <w:szCs w:val="21"/>
                      <w:u w:color="000000"/>
                    </w:rPr>
                  </w:pPr>
                  <w:r>
                    <w:rPr>
                      <w:rFonts w:hint="eastAsia" w:ascii="宋体" w:hAnsi="宋体"/>
                      <w:szCs w:val="21"/>
                      <w:u w:color="000000"/>
                      <w:lang w:val="en-US" w:eastAsia="zh-CN"/>
                    </w:rPr>
                    <w:t>1</w:t>
                  </w:r>
                  <w:r>
                    <w:rPr>
                      <w:rFonts w:hint="eastAsia" w:ascii="宋体" w:hAnsi="宋体"/>
                      <w:szCs w:val="21"/>
                      <w:u w:color="000000"/>
                    </w:rPr>
                    <w:t>元/笔</w:t>
                  </w:r>
                </w:p>
              </w:tc>
              <w:tc>
                <w:tcPr>
                  <w:tcW w:w="1559" w:type="dxa"/>
                  <w:shd w:val="clear" w:color="auto" w:fill="D3DFEE"/>
                </w:tcPr>
                <w:p>
                  <w:pPr>
                    <w:spacing w:line="360" w:lineRule="auto"/>
                    <w:ind w:right="420"/>
                    <w:jc w:val="center"/>
                    <w:rPr>
                      <w:rFonts w:ascii="宋体" w:hAnsi="宋体"/>
                      <w:szCs w:val="21"/>
                      <w:u w:color="000000"/>
                    </w:rPr>
                  </w:pPr>
                  <w:r>
                    <w:rPr>
                      <w:rFonts w:hint="eastAsia" w:ascii="宋体" w:hAnsi="宋体"/>
                      <w:szCs w:val="21"/>
                      <w:u w:color="000000"/>
                      <w:lang w:val="en-US" w:eastAsia="zh-CN"/>
                    </w:rPr>
                    <w:t>1</w:t>
                  </w:r>
                  <w:r>
                    <w:rPr>
                      <w:rFonts w:hint="eastAsia" w:ascii="宋体" w:hAnsi="宋体"/>
                      <w:szCs w:val="21"/>
                      <w:u w:color="000000"/>
                    </w:rPr>
                    <w:t>元/笔</w:t>
                  </w:r>
                </w:p>
              </w:tc>
              <w:tc>
                <w:tcPr>
                  <w:tcW w:w="3114" w:type="dxa"/>
                  <w:tcBorders>
                    <w:left w:val="nil"/>
                    <w:right w:val="nil"/>
                  </w:tcBorders>
                  <w:shd w:val="clear" w:color="auto" w:fill="D3DFEE"/>
                </w:tcPr>
                <w:p>
                  <w:pPr>
                    <w:spacing w:line="360" w:lineRule="auto"/>
                    <w:ind w:right="420"/>
                    <w:jc w:val="center"/>
                    <w:rPr>
                      <w:rFonts w:ascii="宋体" w:hAnsi="宋体"/>
                      <w:szCs w:val="21"/>
                      <w:u w:color="000000"/>
                    </w:rPr>
                  </w:pPr>
                  <w:r>
                    <w:rPr>
                      <w:rFonts w:hint="eastAsia" w:ascii="宋体" w:hAnsi="宋体"/>
                      <w:szCs w:val="21"/>
                      <w:u w:color="000000"/>
                    </w:rPr>
                    <w:t>（</w:t>
                  </w:r>
                  <w:r>
                    <w:rPr>
                      <w:rFonts w:hint="default" w:ascii="Arial" w:hAnsi="Arial" w:cs="Arial"/>
                      <w:b/>
                      <w:bCs/>
                      <w:szCs w:val="21"/>
                      <w:u w:color="000000"/>
                    </w:rPr>
                    <w:t>√</w:t>
                  </w:r>
                  <w:r>
                    <w:rPr>
                      <w:rFonts w:hint="eastAsia" w:ascii="宋体" w:hAnsi="宋体"/>
                      <w:b/>
                      <w:bCs/>
                      <w:szCs w:val="21"/>
                      <w:u w:color="000000"/>
                    </w:rPr>
                    <w:t xml:space="preserve"> </w:t>
                  </w:r>
                  <w:r>
                    <w:rPr>
                      <w:rFonts w:hint="eastAsia" w:ascii="宋体" w:hAnsi="宋体"/>
                      <w:szCs w:val="21"/>
                      <w:u w:color="000000"/>
                    </w:rPr>
                    <w:t>）借记卡 （ ）信用卡</w:t>
                  </w:r>
                </w:p>
              </w:tc>
            </w:tr>
            <w:tr>
              <w:tblPrEx>
                <w:tblBorders>
                  <w:top w:val="single" w:color="4F81BD" w:sz="8" w:space="0"/>
                  <w:left w:val="none" w:color="auto" w:sz="0" w:space="0"/>
                  <w:bottom w:val="single" w:color="4F81BD" w:sz="8" w:space="0"/>
                  <w:right w:val="none" w:color="auto" w:sz="0" w:space="0"/>
                  <w:insideH w:val="none" w:color="auto" w:sz="0" w:space="0"/>
                  <w:insideV w:val="none" w:color="auto" w:sz="0" w:space="0"/>
                </w:tblBorders>
              </w:tblPrEx>
              <w:tc>
                <w:tcPr>
                  <w:tcW w:w="2365" w:type="dxa"/>
                </w:tcPr>
                <w:p>
                  <w:pPr>
                    <w:spacing w:line="360" w:lineRule="auto"/>
                    <w:ind w:right="420"/>
                    <w:jc w:val="center"/>
                    <w:rPr>
                      <w:rFonts w:hint="eastAsia" w:ascii="宋体" w:hAnsi="宋体" w:eastAsia="宋体"/>
                      <w:b/>
                      <w:bCs/>
                      <w:szCs w:val="21"/>
                      <w:u w:color="000000"/>
                      <w:lang w:eastAsia="zh-CN"/>
                    </w:rPr>
                  </w:pPr>
                  <w:r>
                    <w:rPr>
                      <w:rFonts w:hint="eastAsia" w:ascii="宋体" w:hAnsi="宋体"/>
                      <w:b/>
                      <w:bCs/>
                      <w:szCs w:val="21"/>
                      <w:u w:color="000000"/>
                    </w:rPr>
                    <w:t xml:space="preserve">（ </w:t>
                  </w:r>
                  <w:r>
                    <w:rPr>
                      <w:rFonts w:hint="default" w:ascii="Arial" w:hAnsi="Arial" w:cs="Arial"/>
                      <w:b/>
                      <w:bCs/>
                      <w:szCs w:val="21"/>
                      <w:u w:color="000000"/>
                    </w:rPr>
                    <w:t>√</w:t>
                  </w:r>
                  <w:r>
                    <w:rPr>
                      <w:rFonts w:hint="eastAsia" w:ascii="宋体" w:hAnsi="宋体"/>
                      <w:b/>
                      <w:bCs/>
                      <w:szCs w:val="21"/>
                      <w:u w:color="000000"/>
                    </w:rPr>
                    <w:t xml:space="preserve"> ）</w:t>
                  </w:r>
                  <w:r>
                    <w:rPr>
                      <w:rFonts w:hint="eastAsia" w:ascii="宋体" w:hAnsi="宋体"/>
                      <w:b/>
                      <w:bCs/>
                      <w:szCs w:val="21"/>
                      <w:u w:color="000000"/>
                      <w:lang w:eastAsia="zh-CN"/>
                    </w:rPr>
                    <w:t>对公充值</w:t>
                  </w:r>
                </w:p>
              </w:tc>
              <w:tc>
                <w:tcPr>
                  <w:tcW w:w="1746" w:type="dxa"/>
                </w:tcPr>
                <w:p>
                  <w:pPr>
                    <w:spacing w:line="360" w:lineRule="auto"/>
                    <w:ind w:right="420"/>
                    <w:jc w:val="center"/>
                    <w:rPr>
                      <w:rFonts w:ascii="宋体" w:hAnsi="宋体"/>
                      <w:szCs w:val="21"/>
                      <w:u w:color="000000"/>
                    </w:rPr>
                  </w:pPr>
                  <w:r>
                    <w:rPr>
                      <w:rFonts w:hint="eastAsia" w:ascii="宋体" w:hAnsi="宋体"/>
                      <w:szCs w:val="21"/>
                      <w:u w:color="000000"/>
                    </w:rPr>
                    <w:t xml:space="preserve"> </w:t>
                  </w:r>
                  <w:r>
                    <w:rPr>
                      <w:rFonts w:hint="eastAsia" w:ascii="宋体" w:hAnsi="宋体"/>
                      <w:szCs w:val="21"/>
                      <w:u w:color="000000"/>
                      <w:lang w:val="en-US" w:eastAsia="zh-CN"/>
                    </w:rPr>
                    <w:t>0.2</w:t>
                  </w:r>
                  <w:r>
                    <w:rPr>
                      <w:rFonts w:hint="eastAsia" w:ascii="宋体" w:hAnsi="宋体"/>
                      <w:szCs w:val="21"/>
                      <w:u w:color="000000"/>
                    </w:rPr>
                    <w:t xml:space="preserve"> %</w:t>
                  </w:r>
                </w:p>
              </w:tc>
              <w:tc>
                <w:tcPr>
                  <w:tcW w:w="1559" w:type="dxa"/>
                </w:tcPr>
                <w:p>
                  <w:pPr>
                    <w:spacing w:line="360" w:lineRule="auto"/>
                    <w:ind w:right="420"/>
                    <w:jc w:val="center"/>
                    <w:rPr>
                      <w:rFonts w:ascii="宋体" w:hAnsi="宋体"/>
                      <w:szCs w:val="21"/>
                      <w:u w:color="000000"/>
                    </w:rPr>
                  </w:pPr>
                  <w:r>
                    <w:rPr>
                      <w:rFonts w:hint="eastAsia" w:ascii="宋体" w:hAnsi="宋体"/>
                      <w:szCs w:val="21"/>
                      <w:u w:color="000000"/>
                    </w:rPr>
                    <w:t>2</w:t>
                  </w:r>
                  <w:r>
                    <w:rPr>
                      <w:rFonts w:hint="eastAsia" w:ascii="宋体" w:hAnsi="宋体"/>
                      <w:szCs w:val="21"/>
                      <w:u w:color="000000"/>
                      <w:lang w:val="en-US" w:eastAsia="zh-CN"/>
                    </w:rPr>
                    <w:t>5</w:t>
                  </w:r>
                  <w:r>
                    <w:rPr>
                      <w:rFonts w:hint="eastAsia" w:ascii="宋体" w:hAnsi="宋体"/>
                      <w:szCs w:val="21"/>
                      <w:u w:color="000000"/>
                    </w:rPr>
                    <w:t>元/笔</w:t>
                  </w:r>
                </w:p>
              </w:tc>
              <w:tc>
                <w:tcPr>
                  <w:tcW w:w="3114" w:type="dxa"/>
                </w:tcPr>
                <w:p>
                  <w:pPr>
                    <w:spacing w:line="360" w:lineRule="auto"/>
                    <w:ind w:right="420"/>
                    <w:jc w:val="center"/>
                    <w:rPr>
                      <w:rFonts w:ascii="宋体" w:hAnsi="宋体"/>
                      <w:szCs w:val="21"/>
                      <w:u w:color="000000"/>
                    </w:rPr>
                  </w:pPr>
                  <w:r>
                    <w:rPr>
                      <w:rFonts w:hint="eastAsia" w:ascii="宋体" w:hAnsi="宋体"/>
                      <w:szCs w:val="21"/>
                      <w:u w:color="000000"/>
                    </w:rPr>
                    <w:t>（ ）借记卡 （ ）信用卡</w:t>
                  </w:r>
                </w:p>
              </w:tc>
            </w:tr>
          </w:tbl>
          <w:p>
            <w:pPr>
              <w:rPr>
                <w:szCs w:val="21"/>
                <w:u w:val="single"/>
              </w:rPr>
            </w:pPr>
          </w:p>
        </w:tc>
      </w:tr>
      <w:tr>
        <w:tblPrEx>
          <w:tblCellMar>
            <w:top w:w="0" w:type="dxa"/>
            <w:left w:w="108" w:type="dxa"/>
            <w:bottom w:w="0" w:type="dxa"/>
            <w:right w:w="108" w:type="dxa"/>
          </w:tblCellMar>
        </w:tblPrEx>
        <w:trPr>
          <w:gridAfter w:val="1"/>
          <w:wAfter w:w="4265" w:type="dxa"/>
          <w:trHeight w:val="454" w:hRule="atLeast"/>
        </w:trPr>
        <w:tc>
          <w:tcPr>
            <w:tcW w:w="10065" w:type="dxa"/>
            <w:gridSpan w:val="11"/>
            <w:tcBorders>
              <w:top w:val="single" w:color="auto" w:sz="4" w:space="0"/>
              <w:left w:val="double" w:color="auto" w:sz="4" w:space="0"/>
              <w:right w:val="double" w:color="auto" w:sz="4" w:space="0"/>
            </w:tcBorders>
            <w:shd w:val="clear" w:color="auto" w:fill="auto"/>
            <w:vAlign w:val="center"/>
          </w:tcPr>
          <w:p>
            <w:pPr>
              <w:pBdr>
                <w:bottom w:val="single" w:color="8DB3E2" w:sz="4" w:space="1"/>
              </w:pBdr>
              <w:shd w:val="clear" w:color="auto" w:fill="FFFFFF"/>
              <w:jc w:val="left"/>
              <w:rPr>
                <w:rFonts w:ascii="宋体" w:hAnsi="宋体"/>
                <w:szCs w:val="21"/>
              </w:rPr>
            </w:pPr>
            <w:r>
              <w:rPr>
                <w:rFonts w:hint="eastAsia" w:ascii="宋体" w:hAnsi="宋体"/>
                <w:szCs w:val="21"/>
              </w:rPr>
              <w:t xml:space="preserve">  </w:t>
            </w:r>
          </w:p>
          <w:p>
            <w:pPr>
              <w:spacing w:line="360" w:lineRule="auto"/>
              <w:ind w:right="420"/>
              <w:rPr>
                <w:rFonts w:ascii="宋体" w:hAnsi="宋体"/>
                <w:szCs w:val="21"/>
                <w:u w:color="000000"/>
              </w:rPr>
            </w:pPr>
            <w:r>
              <w:rPr>
                <w:rFonts w:hint="eastAsia" w:ascii="宋体" w:hAnsi="宋体"/>
                <w:szCs w:val="21"/>
              </w:rPr>
              <w:t xml:space="preserve">   </w:t>
            </w:r>
            <w:r>
              <w:rPr>
                <w:rFonts w:hint="eastAsia" w:ascii="宋体" w:hAnsi="宋体"/>
                <w:szCs w:val="21"/>
                <w:u w:color="000000"/>
              </w:rPr>
              <w:t>系统接入费：</w:t>
            </w:r>
            <w:r>
              <w:rPr>
                <w:rFonts w:hint="eastAsia" w:ascii="宋体" w:hAnsi="宋体"/>
                <w:szCs w:val="21"/>
                <w:u w:val="single"/>
              </w:rPr>
              <w:t xml:space="preserve">  </w:t>
            </w:r>
            <w:r>
              <w:rPr>
                <w:rFonts w:hint="eastAsia" w:ascii="宋体" w:hAnsi="宋体"/>
                <w:szCs w:val="21"/>
                <w:u w:val="single"/>
                <w:lang w:val="en-US" w:eastAsia="zh-CN"/>
              </w:rPr>
              <w:t>0</w:t>
            </w:r>
            <w:r>
              <w:rPr>
                <w:rFonts w:hint="eastAsia" w:ascii="宋体" w:hAnsi="宋体"/>
                <w:szCs w:val="21"/>
                <w:u w:val="single"/>
              </w:rPr>
              <w:t xml:space="preserve">  </w:t>
            </w:r>
            <w:r>
              <w:rPr>
                <w:rFonts w:hint="eastAsia" w:ascii="宋体" w:hAnsi="宋体"/>
                <w:szCs w:val="21"/>
                <w:u w:color="000000"/>
              </w:rPr>
              <w:t>元；  系统服务年费：</w:t>
            </w:r>
            <w:r>
              <w:rPr>
                <w:rFonts w:hint="eastAsia" w:ascii="宋体" w:hAnsi="宋体"/>
                <w:szCs w:val="21"/>
                <w:u w:val="single"/>
              </w:rPr>
              <w:t xml:space="preserve"> </w:t>
            </w:r>
            <w:r>
              <w:rPr>
                <w:rFonts w:hint="eastAsia" w:ascii="宋体" w:hAnsi="宋体"/>
                <w:szCs w:val="21"/>
                <w:u w:val="single"/>
                <w:lang w:val="en-US" w:eastAsia="zh-CN"/>
              </w:rPr>
              <w:t>0</w:t>
            </w:r>
            <w:r>
              <w:rPr>
                <w:rFonts w:hint="eastAsia" w:ascii="宋体" w:hAnsi="宋体"/>
                <w:szCs w:val="21"/>
                <w:u w:val="single"/>
              </w:rPr>
              <w:t xml:space="preserve">  </w:t>
            </w:r>
            <w:r>
              <w:rPr>
                <w:rFonts w:hint="eastAsia" w:ascii="宋体" w:hAnsi="宋体"/>
                <w:szCs w:val="21"/>
                <w:u w:color="000000"/>
              </w:rPr>
              <w:t>元/年；</w:t>
            </w:r>
          </w:p>
          <w:p>
            <w:pPr>
              <w:spacing w:line="360" w:lineRule="auto"/>
              <w:ind w:right="420"/>
              <w:rPr>
                <w:rFonts w:ascii="宋体" w:hAnsi="宋体"/>
                <w:szCs w:val="21"/>
                <w:u w:color="000000"/>
              </w:rPr>
            </w:pPr>
            <w:r>
              <w:rPr>
                <w:rFonts w:hint="eastAsia" w:ascii="宋体" w:hAnsi="宋体"/>
                <w:szCs w:val="21"/>
                <w:u w:color="000000"/>
              </w:rPr>
              <w:t xml:space="preserve">   证书年费： 200 元/个；   保证金: </w:t>
            </w:r>
            <w:r>
              <w:rPr>
                <w:rFonts w:hint="eastAsia" w:ascii="宋体" w:hAnsi="宋体"/>
                <w:szCs w:val="21"/>
                <w:u w:val="single"/>
              </w:rPr>
              <w:t xml:space="preserve">  </w:t>
            </w:r>
            <w:r>
              <w:rPr>
                <w:rFonts w:hint="eastAsia" w:ascii="宋体" w:hAnsi="宋体"/>
                <w:szCs w:val="21"/>
                <w:u w:val="single"/>
                <w:lang w:val="en-US" w:eastAsia="zh-CN"/>
              </w:rPr>
              <w:t>0</w:t>
            </w:r>
            <w:r>
              <w:rPr>
                <w:rFonts w:hint="eastAsia" w:ascii="宋体" w:hAnsi="宋体"/>
                <w:szCs w:val="21"/>
                <w:u w:val="single"/>
              </w:rPr>
              <w:t xml:space="preserve">   </w:t>
            </w:r>
            <w:r>
              <w:rPr>
                <w:rFonts w:hint="eastAsia" w:ascii="宋体" w:hAnsi="宋体"/>
                <w:szCs w:val="21"/>
                <w:u w:color="000000"/>
              </w:rPr>
              <w:t>万元；</w:t>
            </w:r>
          </w:p>
          <w:p>
            <w:pPr>
              <w:spacing w:line="360" w:lineRule="auto"/>
              <w:ind w:right="420"/>
              <w:rPr>
                <w:rFonts w:ascii="宋体" w:hAnsi="宋体"/>
                <w:szCs w:val="21"/>
              </w:rPr>
            </w:pPr>
            <w:r>
              <w:rPr>
                <w:rFonts w:hint="eastAsia" w:ascii="宋体" w:hAnsi="宋体"/>
                <w:szCs w:val="21"/>
                <w:u w:color="000000"/>
              </w:rPr>
              <w:t xml:space="preserve">   预付手续费：</w:t>
            </w:r>
            <w:r>
              <w:rPr>
                <w:rFonts w:hint="eastAsia" w:ascii="宋体" w:hAnsi="宋体"/>
                <w:szCs w:val="21"/>
                <w:u w:val="single"/>
              </w:rPr>
              <w:t xml:space="preserve">  </w:t>
            </w:r>
            <w:r>
              <w:rPr>
                <w:rFonts w:hint="eastAsia" w:ascii="宋体" w:hAnsi="宋体"/>
                <w:szCs w:val="21"/>
                <w:u w:val="single"/>
                <w:lang w:val="en-US" w:eastAsia="zh-CN"/>
              </w:rPr>
              <w:t>0</w:t>
            </w:r>
            <w:r>
              <w:rPr>
                <w:rFonts w:hint="eastAsia" w:ascii="宋体" w:hAnsi="宋体"/>
                <w:szCs w:val="21"/>
                <w:u w:val="single"/>
              </w:rPr>
              <w:t xml:space="preserve">   </w:t>
            </w:r>
            <w:r>
              <w:rPr>
                <w:rFonts w:hint="eastAsia" w:ascii="宋体" w:hAnsi="宋体"/>
                <w:szCs w:val="21"/>
              </w:rPr>
              <w:t>万元。</w:t>
            </w:r>
          </w:p>
          <w:p>
            <w:pPr>
              <w:spacing w:line="360" w:lineRule="auto"/>
              <w:ind w:right="420"/>
              <w:rPr>
                <w:rFonts w:ascii="宋体" w:hAnsi="宋体"/>
                <w:szCs w:val="21"/>
              </w:rPr>
            </w:pPr>
          </w:p>
          <w:p>
            <w:pPr>
              <w:pBdr>
                <w:bottom w:val="single" w:color="8DB3E2" w:sz="4" w:space="1"/>
              </w:pBdr>
              <w:shd w:val="clear" w:color="auto" w:fill="FFFFFF"/>
              <w:jc w:val="left"/>
              <w:rPr>
                <w:b/>
                <w:bCs/>
                <w:szCs w:val="21"/>
              </w:rPr>
            </w:pPr>
            <w:r>
              <w:rPr>
                <w:rFonts w:hint="eastAsia" w:ascii="宋体" w:hAnsi="宋体"/>
                <w:szCs w:val="21"/>
                <w:u w:color="000000"/>
              </w:rPr>
              <w:t xml:space="preserve">    备注：如乙方收取预付手续费的，则乙方实时从甲方该预付手续费中扣除交易手续费。预付手续费扣除完毕，乙方提前通知甲方，甲方须及时补充该预付手续费金额。在该预付手续费不足的情况下，乙方有权在结算款中先行扣除手续费后再结算。</w:t>
            </w:r>
          </w:p>
        </w:tc>
      </w:tr>
      <w:tr>
        <w:tblPrEx>
          <w:tblCellMar>
            <w:top w:w="0" w:type="dxa"/>
            <w:left w:w="108" w:type="dxa"/>
            <w:bottom w:w="0" w:type="dxa"/>
            <w:right w:w="108" w:type="dxa"/>
          </w:tblCellMar>
        </w:tblPrEx>
        <w:trPr>
          <w:gridAfter w:val="1"/>
          <w:wAfter w:w="4265" w:type="dxa"/>
          <w:trHeight w:val="454" w:hRule="atLeast"/>
        </w:trPr>
        <w:tc>
          <w:tcPr>
            <w:tcW w:w="10065" w:type="dxa"/>
            <w:gridSpan w:val="11"/>
            <w:tcBorders>
              <w:top w:val="single" w:color="auto" w:sz="4" w:space="0"/>
              <w:left w:val="double" w:color="auto" w:sz="4" w:space="0"/>
              <w:bottom w:val="single" w:color="auto" w:sz="4" w:space="0"/>
              <w:right w:val="double" w:color="auto" w:sz="4" w:space="0"/>
            </w:tcBorders>
            <w:shd w:val="clear" w:color="auto" w:fill="D9D9D9"/>
            <w:vAlign w:val="center"/>
          </w:tcPr>
          <w:p>
            <w:pPr>
              <w:jc w:val="center"/>
              <w:rPr>
                <w:b/>
                <w:szCs w:val="21"/>
                <w:highlight w:val="lightGray"/>
              </w:rPr>
            </w:pPr>
            <w:r>
              <w:rPr>
                <w:b/>
                <w:szCs w:val="21"/>
                <w:highlight w:val="lightGray"/>
                <w:shd w:val="pct10" w:color="auto" w:fill="FFFFFF"/>
              </w:rPr>
              <w:t>交易</w:t>
            </w:r>
            <w:r>
              <w:rPr>
                <w:b/>
                <w:szCs w:val="21"/>
                <w:highlight w:val="lightGray"/>
              </w:rPr>
              <w:t>资金</w:t>
            </w:r>
            <w:r>
              <w:rPr>
                <w:b/>
                <w:szCs w:val="21"/>
                <w:highlight w:val="lightGray"/>
                <w:shd w:val="pct10" w:color="auto" w:fill="FFFFFF"/>
              </w:rPr>
              <w:t>结账类型</w:t>
            </w:r>
            <w:r>
              <w:rPr>
                <w:rFonts w:hint="eastAsia" w:ascii="宋体" w:hAnsi="宋体"/>
                <w:color w:val="FF0000"/>
                <w:szCs w:val="21"/>
              </w:rPr>
              <w:t>*</w:t>
            </w:r>
          </w:p>
        </w:tc>
      </w:tr>
      <w:tr>
        <w:tblPrEx>
          <w:tblCellMar>
            <w:top w:w="0" w:type="dxa"/>
            <w:left w:w="108" w:type="dxa"/>
            <w:bottom w:w="0" w:type="dxa"/>
            <w:right w:w="108" w:type="dxa"/>
          </w:tblCellMar>
        </w:tblPrEx>
        <w:trPr>
          <w:gridAfter w:val="1"/>
          <w:wAfter w:w="4265" w:type="dxa"/>
          <w:trHeight w:val="454" w:hRule="atLeast"/>
        </w:trPr>
        <w:tc>
          <w:tcPr>
            <w:tcW w:w="1843" w:type="dxa"/>
            <w:gridSpan w:val="2"/>
            <w:vMerge w:val="restart"/>
            <w:tcBorders>
              <w:top w:val="single" w:color="auto" w:sz="4" w:space="0"/>
              <w:left w:val="double" w:color="auto" w:sz="4" w:space="0"/>
              <w:right w:val="single" w:color="auto" w:sz="4" w:space="0"/>
            </w:tcBorders>
            <w:shd w:val="clear" w:color="auto" w:fill="auto"/>
            <w:vAlign w:val="center"/>
          </w:tcPr>
          <w:p>
            <w:pPr>
              <w:rPr>
                <w:szCs w:val="21"/>
              </w:rPr>
            </w:pPr>
          </w:p>
          <w:p>
            <w:pPr>
              <w:rPr>
                <w:rFonts w:ascii="宋体" w:hAnsi="宋体"/>
                <w:color w:val="FF0000"/>
                <w:szCs w:val="21"/>
              </w:rPr>
            </w:pPr>
            <w:r>
              <w:rPr>
                <w:rFonts w:hint="eastAsia"/>
                <w:szCs w:val="21"/>
              </w:rPr>
              <w:t>甲方结算账户</w:t>
            </w:r>
            <w:r>
              <w:rPr>
                <w:rFonts w:hint="eastAsia" w:ascii="宋体" w:hAnsi="宋体"/>
                <w:color w:val="FF0000"/>
                <w:szCs w:val="21"/>
              </w:rPr>
              <w:t>*</w:t>
            </w:r>
          </w:p>
          <w:p>
            <w:pPr>
              <w:rPr>
                <w:szCs w:val="21"/>
              </w:rPr>
            </w:pPr>
            <w:r>
              <w:rPr>
                <w:rFonts w:hint="eastAsia" w:ascii="宋体" w:hAnsi="宋体"/>
                <w:color w:val="FF0000"/>
                <w:szCs w:val="21"/>
              </w:rPr>
              <w:t>（贵公司接收清算资金的账户）</w:t>
            </w:r>
          </w:p>
        </w:tc>
        <w:tc>
          <w:tcPr>
            <w:tcW w:w="1701" w:type="dxa"/>
            <w:gridSpan w:val="3"/>
            <w:tcBorders>
              <w:top w:val="single" w:color="auto" w:sz="4" w:space="0"/>
              <w:left w:val="nil"/>
              <w:bottom w:val="single" w:color="auto" w:sz="4" w:space="0"/>
              <w:right w:val="single" w:color="000000" w:sz="4" w:space="0"/>
            </w:tcBorders>
            <w:shd w:val="clear" w:color="auto" w:fill="auto"/>
            <w:vAlign w:val="center"/>
          </w:tcPr>
          <w:p>
            <w:pPr>
              <w:jc w:val="left"/>
              <w:rPr>
                <w:szCs w:val="21"/>
              </w:rPr>
            </w:pPr>
            <w:r>
              <w:rPr>
                <w:rFonts w:hint="eastAsia"/>
                <w:szCs w:val="21"/>
              </w:rPr>
              <w:t>账户名称</w:t>
            </w:r>
            <w:r>
              <w:rPr>
                <w:rFonts w:hint="eastAsia" w:ascii="宋体" w:hAnsi="宋体"/>
                <w:color w:val="FF0000"/>
                <w:szCs w:val="21"/>
              </w:rPr>
              <w:t>*</w:t>
            </w:r>
          </w:p>
        </w:tc>
        <w:tc>
          <w:tcPr>
            <w:tcW w:w="6521" w:type="dxa"/>
            <w:gridSpan w:val="6"/>
            <w:tcBorders>
              <w:top w:val="single" w:color="000000" w:sz="4" w:space="0"/>
              <w:left w:val="nil"/>
              <w:bottom w:val="single" w:color="000000" w:sz="4" w:space="0"/>
              <w:right w:val="double" w:color="auto" w:sz="4" w:space="0"/>
            </w:tcBorders>
            <w:shd w:val="clear" w:color="auto" w:fill="auto"/>
            <w:vAlign w:val="center"/>
          </w:tcPr>
          <w:p>
            <w:pPr>
              <w:rPr>
                <w:szCs w:val="21"/>
              </w:rPr>
            </w:pPr>
            <w:r>
              <w:rPr>
                <w:rFonts w:hint="eastAsia"/>
                <w:szCs w:val="21"/>
              </w:rPr>
              <w:t>临沂至航国际贸易有限公司</w:t>
            </w:r>
          </w:p>
        </w:tc>
      </w:tr>
      <w:tr>
        <w:tblPrEx>
          <w:tblCellMar>
            <w:top w:w="0" w:type="dxa"/>
            <w:left w:w="108" w:type="dxa"/>
            <w:bottom w:w="0" w:type="dxa"/>
            <w:right w:w="108" w:type="dxa"/>
          </w:tblCellMar>
        </w:tblPrEx>
        <w:trPr>
          <w:gridAfter w:val="1"/>
          <w:wAfter w:w="4265" w:type="dxa"/>
          <w:trHeight w:val="454" w:hRule="atLeast"/>
        </w:trPr>
        <w:tc>
          <w:tcPr>
            <w:tcW w:w="1843" w:type="dxa"/>
            <w:gridSpan w:val="2"/>
            <w:vMerge w:val="continue"/>
            <w:tcBorders>
              <w:left w:val="double" w:color="auto" w:sz="4" w:space="0"/>
              <w:right w:val="single" w:color="auto" w:sz="4" w:space="0"/>
            </w:tcBorders>
            <w:shd w:val="clear" w:color="auto" w:fill="auto"/>
            <w:vAlign w:val="center"/>
          </w:tcPr>
          <w:p>
            <w:pPr>
              <w:rPr>
                <w:szCs w:val="21"/>
              </w:rPr>
            </w:pPr>
          </w:p>
        </w:tc>
        <w:tc>
          <w:tcPr>
            <w:tcW w:w="1701" w:type="dxa"/>
            <w:gridSpan w:val="3"/>
            <w:tcBorders>
              <w:top w:val="single" w:color="auto" w:sz="4" w:space="0"/>
              <w:left w:val="nil"/>
              <w:bottom w:val="single" w:color="auto" w:sz="4" w:space="0"/>
              <w:right w:val="single" w:color="000000" w:sz="4" w:space="0"/>
            </w:tcBorders>
            <w:shd w:val="clear" w:color="auto" w:fill="auto"/>
            <w:vAlign w:val="center"/>
          </w:tcPr>
          <w:p>
            <w:pPr>
              <w:jc w:val="left"/>
              <w:rPr>
                <w:szCs w:val="21"/>
              </w:rPr>
            </w:pPr>
            <w:r>
              <w:rPr>
                <w:rFonts w:hint="eastAsia"/>
                <w:szCs w:val="21"/>
              </w:rPr>
              <w:t>开户银行</w:t>
            </w:r>
            <w:r>
              <w:rPr>
                <w:rFonts w:hint="eastAsia" w:ascii="宋体" w:hAnsi="宋体"/>
                <w:color w:val="FF0000"/>
                <w:szCs w:val="21"/>
              </w:rPr>
              <w:t>*</w:t>
            </w:r>
          </w:p>
        </w:tc>
        <w:tc>
          <w:tcPr>
            <w:tcW w:w="6521" w:type="dxa"/>
            <w:gridSpan w:val="6"/>
            <w:tcBorders>
              <w:top w:val="single" w:color="000000" w:sz="4" w:space="0"/>
              <w:left w:val="nil"/>
              <w:bottom w:val="single" w:color="000000" w:sz="4" w:space="0"/>
              <w:right w:val="double" w:color="auto" w:sz="4" w:space="0"/>
            </w:tcBorders>
            <w:shd w:val="clear" w:color="auto" w:fill="auto"/>
            <w:vAlign w:val="center"/>
          </w:tcPr>
          <w:p>
            <w:pPr>
              <w:rPr>
                <w:szCs w:val="21"/>
              </w:rPr>
            </w:pPr>
            <w:r>
              <w:rPr>
                <w:rFonts w:hint="eastAsia"/>
                <w:szCs w:val="21"/>
              </w:rPr>
              <w:t>中国工商银行股份有限公司临沂兰山支行</w:t>
            </w:r>
          </w:p>
        </w:tc>
      </w:tr>
      <w:tr>
        <w:tblPrEx>
          <w:tblCellMar>
            <w:top w:w="0" w:type="dxa"/>
            <w:left w:w="108" w:type="dxa"/>
            <w:bottom w:w="0" w:type="dxa"/>
            <w:right w:w="108" w:type="dxa"/>
          </w:tblCellMar>
        </w:tblPrEx>
        <w:trPr>
          <w:gridAfter w:val="1"/>
          <w:wAfter w:w="4265" w:type="dxa"/>
          <w:trHeight w:val="454" w:hRule="atLeast"/>
        </w:trPr>
        <w:tc>
          <w:tcPr>
            <w:tcW w:w="1843" w:type="dxa"/>
            <w:gridSpan w:val="2"/>
            <w:vMerge w:val="continue"/>
            <w:tcBorders>
              <w:left w:val="double" w:color="auto" w:sz="4" w:space="0"/>
              <w:right w:val="single" w:color="auto" w:sz="4" w:space="0"/>
            </w:tcBorders>
            <w:shd w:val="clear" w:color="auto" w:fill="auto"/>
            <w:vAlign w:val="center"/>
          </w:tcPr>
          <w:p>
            <w:pPr>
              <w:rPr>
                <w:szCs w:val="21"/>
              </w:rPr>
            </w:pPr>
          </w:p>
        </w:tc>
        <w:tc>
          <w:tcPr>
            <w:tcW w:w="1701" w:type="dxa"/>
            <w:gridSpan w:val="3"/>
            <w:tcBorders>
              <w:top w:val="single" w:color="auto" w:sz="4" w:space="0"/>
              <w:left w:val="nil"/>
              <w:bottom w:val="single" w:color="auto" w:sz="4" w:space="0"/>
              <w:right w:val="single" w:color="000000" w:sz="4" w:space="0"/>
            </w:tcBorders>
            <w:shd w:val="clear" w:color="auto" w:fill="auto"/>
            <w:vAlign w:val="center"/>
          </w:tcPr>
          <w:p>
            <w:pPr>
              <w:jc w:val="left"/>
              <w:rPr>
                <w:szCs w:val="21"/>
              </w:rPr>
            </w:pPr>
            <w:r>
              <w:rPr>
                <w:rFonts w:hint="eastAsia"/>
                <w:szCs w:val="21"/>
              </w:rPr>
              <w:t>账    号</w:t>
            </w:r>
            <w:r>
              <w:rPr>
                <w:rFonts w:hint="eastAsia" w:ascii="宋体" w:hAnsi="宋体"/>
                <w:color w:val="FF0000"/>
                <w:szCs w:val="21"/>
              </w:rPr>
              <w:t>*</w:t>
            </w:r>
          </w:p>
        </w:tc>
        <w:tc>
          <w:tcPr>
            <w:tcW w:w="6521" w:type="dxa"/>
            <w:gridSpan w:val="6"/>
            <w:tcBorders>
              <w:top w:val="single" w:color="000000" w:sz="4" w:space="0"/>
              <w:left w:val="nil"/>
              <w:bottom w:val="single" w:color="000000" w:sz="4" w:space="0"/>
              <w:right w:val="double" w:color="auto" w:sz="4" w:space="0"/>
            </w:tcBorders>
            <w:shd w:val="clear" w:color="auto" w:fill="auto"/>
            <w:vAlign w:val="center"/>
          </w:tcPr>
          <w:p>
            <w:pPr>
              <w:rPr>
                <w:szCs w:val="21"/>
              </w:rPr>
            </w:pPr>
            <w:r>
              <w:rPr>
                <w:rFonts w:hint="eastAsia"/>
                <w:szCs w:val="21"/>
              </w:rPr>
              <w:t>1610020109200665313</w:t>
            </w:r>
          </w:p>
        </w:tc>
      </w:tr>
      <w:tr>
        <w:tblPrEx>
          <w:tblCellMar>
            <w:top w:w="0" w:type="dxa"/>
            <w:left w:w="108" w:type="dxa"/>
            <w:bottom w:w="0" w:type="dxa"/>
            <w:right w:w="108" w:type="dxa"/>
          </w:tblCellMar>
        </w:tblPrEx>
        <w:trPr>
          <w:gridAfter w:val="1"/>
          <w:wAfter w:w="4265" w:type="dxa"/>
          <w:trHeight w:val="454" w:hRule="atLeast"/>
        </w:trPr>
        <w:tc>
          <w:tcPr>
            <w:tcW w:w="1843" w:type="dxa"/>
            <w:gridSpan w:val="2"/>
            <w:vMerge w:val="continue"/>
            <w:tcBorders>
              <w:left w:val="double" w:color="auto" w:sz="4" w:space="0"/>
              <w:bottom w:val="single" w:color="auto" w:sz="4" w:space="0"/>
              <w:right w:val="single" w:color="auto" w:sz="4" w:space="0"/>
            </w:tcBorders>
            <w:shd w:val="clear" w:color="auto" w:fill="auto"/>
            <w:vAlign w:val="center"/>
          </w:tcPr>
          <w:p>
            <w:pPr>
              <w:rPr>
                <w:szCs w:val="21"/>
              </w:rPr>
            </w:pPr>
          </w:p>
        </w:tc>
        <w:tc>
          <w:tcPr>
            <w:tcW w:w="1701" w:type="dxa"/>
            <w:gridSpan w:val="3"/>
            <w:tcBorders>
              <w:top w:val="single" w:color="auto" w:sz="4" w:space="0"/>
              <w:left w:val="nil"/>
              <w:bottom w:val="single" w:color="auto" w:sz="4" w:space="0"/>
              <w:right w:val="single" w:color="000000" w:sz="4" w:space="0"/>
            </w:tcBorders>
            <w:shd w:val="clear" w:color="auto" w:fill="auto"/>
            <w:vAlign w:val="center"/>
          </w:tcPr>
          <w:p>
            <w:pPr>
              <w:jc w:val="left"/>
              <w:rPr>
                <w:szCs w:val="21"/>
              </w:rPr>
            </w:pPr>
            <w:r>
              <w:rPr>
                <w:rFonts w:hint="eastAsia"/>
                <w:szCs w:val="21"/>
              </w:rPr>
              <w:t>行    号</w:t>
            </w:r>
            <w:r>
              <w:rPr>
                <w:rFonts w:hint="eastAsia" w:ascii="宋体" w:hAnsi="宋体"/>
                <w:color w:val="FF0000"/>
                <w:szCs w:val="21"/>
              </w:rPr>
              <w:t>*</w:t>
            </w:r>
          </w:p>
        </w:tc>
        <w:tc>
          <w:tcPr>
            <w:tcW w:w="6521" w:type="dxa"/>
            <w:gridSpan w:val="6"/>
            <w:tcBorders>
              <w:top w:val="single" w:color="000000" w:sz="4" w:space="0"/>
              <w:left w:val="nil"/>
              <w:bottom w:val="single" w:color="000000" w:sz="4" w:space="0"/>
              <w:right w:val="double" w:color="auto" w:sz="4" w:space="0"/>
            </w:tcBorders>
            <w:shd w:val="clear" w:color="auto" w:fill="auto"/>
            <w:vAlign w:val="center"/>
          </w:tcPr>
          <w:p>
            <w:pPr>
              <w:rPr>
                <w:szCs w:val="21"/>
              </w:rPr>
            </w:pPr>
            <w:r>
              <w:rPr>
                <w:rFonts w:hint="eastAsia"/>
                <w:szCs w:val="21"/>
              </w:rPr>
              <w:t>102473000044</w:t>
            </w:r>
          </w:p>
        </w:tc>
      </w:tr>
      <w:tr>
        <w:tblPrEx>
          <w:tblCellMar>
            <w:top w:w="0" w:type="dxa"/>
            <w:left w:w="108" w:type="dxa"/>
            <w:bottom w:w="0" w:type="dxa"/>
            <w:right w:w="108" w:type="dxa"/>
          </w:tblCellMar>
        </w:tblPrEx>
        <w:trPr>
          <w:gridAfter w:val="1"/>
          <w:wAfter w:w="4265" w:type="dxa"/>
          <w:trHeight w:val="454" w:hRule="atLeast"/>
        </w:trPr>
        <w:tc>
          <w:tcPr>
            <w:tcW w:w="10065" w:type="dxa"/>
            <w:gridSpan w:val="11"/>
            <w:tcBorders>
              <w:left w:val="double" w:color="auto" w:sz="4" w:space="0"/>
              <w:bottom w:val="single" w:color="auto" w:sz="4" w:space="0"/>
              <w:right w:val="double" w:color="auto" w:sz="4" w:space="0"/>
            </w:tcBorders>
            <w:shd w:val="clear" w:color="auto" w:fill="auto"/>
            <w:vAlign w:val="center"/>
          </w:tcPr>
          <w:p>
            <w:pPr>
              <w:rPr>
                <w:rFonts w:ascii="宋体" w:hAnsi="宋体"/>
                <w:szCs w:val="21"/>
              </w:rPr>
            </w:pPr>
            <w:r>
              <w:rPr>
                <w:rFonts w:hint="eastAsia" w:ascii="宋体" w:hAnsi="宋体"/>
                <w:color w:val="FF0000"/>
                <w:szCs w:val="21"/>
              </w:rPr>
              <w:t>*</w:t>
            </w:r>
            <w:r>
              <w:rPr>
                <w:rFonts w:hint="eastAsia" w:ascii="宋体" w:hAnsi="宋体"/>
                <w:b/>
                <w:szCs w:val="21"/>
              </w:rPr>
              <w:t>清算时间及额度</w:t>
            </w:r>
            <w:r>
              <w:rPr>
                <w:rFonts w:hint="eastAsia" w:ascii="宋体" w:hAnsi="宋体"/>
                <w:szCs w:val="21"/>
              </w:rPr>
              <w:t>： 代付业务，结算周期为 T+1个工作日；代收业务，结算周期为 T+2个工作日，乙方将该交易日所发生的交易资金，按本协议约定结算至甲方指定的银行账户中，最低结算金额2万元；如因银行或银联网络问题及不可抗因素导致付款延迟，乙方不承担任何责任。</w:t>
            </w:r>
          </w:p>
        </w:tc>
      </w:tr>
      <w:tr>
        <w:tblPrEx>
          <w:tblCellMar>
            <w:top w:w="0" w:type="dxa"/>
            <w:left w:w="108" w:type="dxa"/>
            <w:bottom w:w="0" w:type="dxa"/>
            <w:right w:w="108" w:type="dxa"/>
          </w:tblCellMar>
        </w:tblPrEx>
        <w:trPr>
          <w:gridAfter w:val="1"/>
          <w:wAfter w:w="4265" w:type="dxa"/>
          <w:trHeight w:val="454" w:hRule="atLeast"/>
        </w:trPr>
        <w:tc>
          <w:tcPr>
            <w:tcW w:w="10065" w:type="dxa"/>
            <w:gridSpan w:val="11"/>
            <w:tcBorders>
              <w:left w:val="double" w:color="auto" w:sz="4" w:space="0"/>
              <w:bottom w:val="single" w:color="auto" w:sz="4" w:space="0"/>
              <w:right w:val="double" w:color="auto" w:sz="4" w:space="0"/>
            </w:tcBorders>
            <w:shd w:val="clear" w:color="auto" w:fill="DDD9C4" w:themeFill="background2" w:themeFillShade="E6"/>
            <w:vAlign w:val="center"/>
          </w:tcPr>
          <w:p>
            <w:pPr>
              <w:jc w:val="center"/>
              <w:rPr>
                <w:rFonts w:ascii="宋体" w:hAnsi="宋体"/>
                <w:b/>
                <w:szCs w:val="21"/>
              </w:rPr>
            </w:pPr>
            <w:r>
              <w:rPr>
                <w:rFonts w:hint="eastAsia" w:ascii="宋体" w:hAnsi="宋体"/>
                <w:b/>
                <w:szCs w:val="21"/>
              </w:rPr>
              <w:t>操作员证书申请信息</w:t>
            </w:r>
          </w:p>
        </w:tc>
      </w:tr>
      <w:tr>
        <w:tblPrEx>
          <w:tblCellMar>
            <w:top w:w="0" w:type="dxa"/>
            <w:left w:w="108" w:type="dxa"/>
            <w:bottom w:w="0" w:type="dxa"/>
            <w:right w:w="108" w:type="dxa"/>
          </w:tblCellMar>
        </w:tblPrEx>
        <w:trPr>
          <w:gridAfter w:val="1"/>
          <w:wAfter w:w="4265" w:type="dxa"/>
          <w:trHeight w:val="454" w:hRule="atLeast"/>
        </w:trPr>
        <w:tc>
          <w:tcPr>
            <w:tcW w:w="10065" w:type="dxa"/>
            <w:gridSpan w:val="11"/>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证书数量</w:t>
            </w:r>
            <w:r>
              <w:rPr>
                <w:rFonts w:hint="eastAsia"/>
                <w:szCs w:val="21"/>
                <w:u w:val="single"/>
              </w:rPr>
              <w:t xml:space="preserve"> </w:t>
            </w:r>
            <w:r>
              <w:rPr>
                <w:rFonts w:hint="eastAsia"/>
                <w:szCs w:val="21"/>
                <w:u w:val="single"/>
                <w:lang w:val="en-US" w:eastAsia="zh-CN"/>
              </w:rPr>
              <w:t>2</w:t>
            </w:r>
            <w:r>
              <w:rPr>
                <w:rFonts w:hint="eastAsia"/>
                <w:szCs w:val="21"/>
                <w:u w:val="single"/>
              </w:rPr>
              <w:t xml:space="preserve"> </w:t>
            </w:r>
            <w:r>
              <w:rPr>
                <w:rFonts w:hint="eastAsia"/>
                <w:szCs w:val="21"/>
              </w:rPr>
              <w:t xml:space="preserve">个:（ </w:t>
            </w:r>
            <w:r>
              <w:rPr>
                <w:rFonts w:hint="default" w:ascii="Arial" w:hAnsi="Arial" w:cs="Arial"/>
                <w:szCs w:val="21"/>
              </w:rPr>
              <w:t>√</w:t>
            </w:r>
            <w:r>
              <w:rPr>
                <w:rFonts w:hint="eastAsia"/>
                <w:szCs w:val="21"/>
              </w:rPr>
              <w:t xml:space="preserve"> ）企业证书</w:t>
            </w:r>
            <w:r>
              <w:rPr>
                <w:rFonts w:hint="eastAsia"/>
                <w:szCs w:val="21"/>
                <w:u w:val="single"/>
              </w:rPr>
              <w:t xml:space="preserve">  </w:t>
            </w:r>
            <w:r>
              <w:rPr>
                <w:rFonts w:hint="eastAsia"/>
                <w:szCs w:val="21"/>
                <w:u w:val="single"/>
                <w:lang w:val="en-US" w:eastAsia="zh-CN"/>
              </w:rPr>
              <w:t>1</w:t>
            </w:r>
            <w:r>
              <w:rPr>
                <w:rFonts w:hint="eastAsia"/>
                <w:szCs w:val="21"/>
                <w:u w:val="single"/>
              </w:rPr>
              <w:t xml:space="preserve">  </w:t>
            </w:r>
            <w:r>
              <w:rPr>
                <w:rFonts w:hint="eastAsia"/>
                <w:szCs w:val="21"/>
              </w:rPr>
              <w:t xml:space="preserve">个，（ </w:t>
            </w:r>
            <w:r>
              <w:rPr>
                <w:rFonts w:hint="default" w:ascii="Arial" w:hAnsi="Arial" w:cs="Arial"/>
                <w:szCs w:val="21"/>
              </w:rPr>
              <w:t>√</w:t>
            </w:r>
            <w:r>
              <w:rPr>
                <w:rFonts w:hint="eastAsia"/>
                <w:szCs w:val="21"/>
              </w:rPr>
              <w:t xml:space="preserve"> ）个人证书</w:t>
            </w:r>
            <w:r>
              <w:rPr>
                <w:rFonts w:hint="eastAsia"/>
                <w:szCs w:val="21"/>
                <w:u w:val="single"/>
              </w:rPr>
              <w:t xml:space="preserve"> </w:t>
            </w:r>
            <w:r>
              <w:rPr>
                <w:rFonts w:hint="eastAsia"/>
                <w:szCs w:val="21"/>
                <w:u w:val="single"/>
                <w:lang w:val="en-US" w:eastAsia="zh-CN"/>
              </w:rPr>
              <w:t>1</w:t>
            </w:r>
            <w:r>
              <w:rPr>
                <w:rFonts w:hint="eastAsia"/>
                <w:szCs w:val="21"/>
                <w:u w:val="single"/>
              </w:rPr>
              <w:t xml:space="preserve">  </w:t>
            </w:r>
            <w:r>
              <w:rPr>
                <w:rFonts w:hint="eastAsia"/>
                <w:szCs w:val="21"/>
              </w:rPr>
              <w:t>个</w:t>
            </w:r>
          </w:p>
          <w:p>
            <w:pPr>
              <w:ind w:firstLine="34"/>
              <w:rPr>
                <w:szCs w:val="21"/>
                <w:u w:val="single"/>
              </w:rPr>
            </w:pPr>
            <w:r>
              <w:rPr>
                <w:rFonts w:hint="eastAsia"/>
                <w:szCs w:val="21"/>
              </w:rPr>
              <w:t>录入操作员证书</w:t>
            </w:r>
            <w:r>
              <w:rPr>
                <w:rFonts w:hint="eastAsia"/>
                <w:szCs w:val="21"/>
                <w:u w:val="single"/>
              </w:rPr>
              <w:t xml:space="preserve">     </w:t>
            </w:r>
            <w:r>
              <w:rPr>
                <w:rFonts w:hint="eastAsia"/>
                <w:szCs w:val="21"/>
              </w:rPr>
              <w:t>个   用户名：</w:t>
            </w:r>
            <w:r>
              <w:rPr>
                <w:rFonts w:hint="eastAsia"/>
                <w:szCs w:val="21"/>
                <w:u w:val="single"/>
              </w:rPr>
              <w:t xml:space="preserve">        </w:t>
            </w:r>
            <w:r>
              <w:rPr>
                <w:rFonts w:hint="eastAsia"/>
                <w:szCs w:val="21"/>
              </w:rPr>
              <w:t>key初始密码：</w:t>
            </w:r>
            <w:r>
              <w:rPr>
                <w:rFonts w:hint="eastAsia"/>
                <w:szCs w:val="21"/>
                <w:u w:val="single"/>
              </w:rPr>
              <w:t xml:space="preserve">     </w:t>
            </w:r>
          </w:p>
          <w:p>
            <w:pPr>
              <w:rPr>
                <w:rFonts w:ascii="宋体" w:hAnsi="宋体"/>
                <w:szCs w:val="21"/>
              </w:rPr>
            </w:pPr>
            <w:r>
              <w:rPr>
                <w:rFonts w:hint="eastAsia"/>
                <w:szCs w:val="21"/>
              </w:rPr>
              <w:t>复核操作员证书</w:t>
            </w:r>
            <w:r>
              <w:rPr>
                <w:rFonts w:hint="eastAsia"/>
                <w:szCs w:val="21"/>
                <w:u w:val="single"/>
              </w:rPr>
              <w:t xml:space="preserve">     </w:t>
            </w:r>
            <w:r>
              <w:rPr>
                <w:rFonts w:hint="eastAsia"/>
                <w:szCs w:val="21"/>
              </w:rPr>
              <w:t>个   用户名：</w:t>
            </w:r>
            <w:r>
              <w:rPr>
                <w:rFonts w:hint="eastAsia"/>
                <w:szCs w:val="21"/>
                <w:u w:val="single"/>
              </w:rPr>
              <w:t xml:space="preserve">        </w:t>
            </w:r>
            <w:r>
              <w:rPr>
                <w:rFonts w:hint="eastAsia"/>
                <w:szCs w:val="21"/>
              </w:rPr>
              <w:t>key初始密码：</w:t>
            </w:r>
            <w:r>
              <w:rPr>
                <w:rFonts w:hint="eastAsia"/>
                <w:szCs w:val="21"/>
                <w:u w:val="single"/>
              </w:rPr>
              <w:t xml:space="preserve">     </w:t>
            </w:r>
            <w:r>
              <w:rPr>
                <w:rFonts w:hint="eastAsia"/>
                <w:szCs w:val="21"/>
              </w:rPr>
              <w:t xml:space="preserve">  </w:t>
            </w:r>
          </w:p>
        </w:tc>
      </w:tr>
      <w:tr>
        <w:tblPrEx>
          <w:tblCellMar>
            <w:top w:w="0" w:type="dxa"/>
            <w:left w:w="108" w:type="dxa"/>
            <w:bottom w:w="0" w:type="dxa"/>
            <w:right w:w="108" w:type="dxa"/>
          </w:tblCellMar>
        </w:tblPrEx>
        <w:trPr>
          <w:gridAfter w:val="1"/>
          <w:wAfter w:w="4265" w:type="dxa"/>
          <w:trHeight w:val="454" w:hRule="atLeast"/>
        </w:trPr>
        <w:tc>
          <w:tcPr>
            <w:tcW w:w="10065" w:type="dxa"/>
            <w:gridSpan w:val="11"/>
            <w:tcBorders>
              <w:left w:val="double" w:color="auto" w:sz="4" w:space="0"/>
              <w:bottom w:val="single" w:color="auto" w:sz="4" w:space="0"/>
              <w:right w:val="double" w:color="auto" w:sz="4" w:space="0"/>
            </w:tcBorders>
            <w:shd w:val="clear" w:color="auto" w:fill="EEECE1"/>
            <w:vAlign w:val="center"/>
          </w:tcPr>
          <w:p>
            <w:pPr>
              <w:ind w:firstLine="34"/>
              <w:jc w:val="center"/>
              <w:rPr>
                <w:b/>
                <w:szCs w:val="21"/>
              </w:rPr>
            </w:pPr>
            <w:r>
              <w:rPr>
                <w:rFonts w:hint="eastAsia"/>
                <w:b/>
                <w:szCs w:val="21"/>
              </w:rPr>
              <w:t>联系人信息</w:t>
            </w:r>
            <w:r>
              <w:rPr>
                <w:rFonts w:hint="eastAsia" w:ascii="宋体" w:hAnsi="宋体"/>
                <w:color w:val="FF0000"/>
                <w:szCs w:val="21"/>
              </w:rPr>
              <w:t>*</w:t>
            </w:r>
            <w:r>
              <w:rPr>
                <w:rFonts w:hint="eastAsia"/>
                <w:b/>
                <w:szCs w:val="21"/>
              </w:rPr>
              <w:t xml:space="preserve"> </w:t>
            </w:r>
            <w:r>
              <w:rPr>
                <w:rFonts w:hint="eastAsia"/>
                <w:b/>
                <w:color w:val="FF0000"/>
                <w:sz w:val="18"/>
                <w:szCs w:val="18"/>
              </w:rPr>
              <w:t>(注:请至少提供3个可长期有效联系的联系人及其相应邮箱地址和电话号码)</w:t>
            </w:r>
          </w:p>
        </w:tc>
      </w:tr>
      <w:tr>
        <w:tblPrEx>
          <w:tblCellMar>
            <w:top w:w="0" w:type="dxa"/>
            <w:left w:w="108" w:type="dxa"/>
            <w:bottom w:w="0" w:type="dxa"/>
            <w:right w:w="108" w:type="dxa"/>
          </w:tblCellMar>
        </w:tblPrEx>
        <w:trPr>
          <w:gridAfter w:val="1"/>
          <w:wAfter w:w="4265" w:type="dxa"/>
          <w:trHeight w:val="454" w:hRule="atLeast"/>
        </w:trPr>
        <w:tc>
          <w:tcPr>
            <w:tcW w:w="1384" w:type="dxa"/>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业务联系人</w:t>
            </w:r>
          </w:p>
        </w:tc>
        <w:tc>
          <w:tcPr>
            <w:tcW w:w="1971" w:type="dxa"/>
            <w:gridSpan w:val="3"/>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张文延</w:t>
            </w:r>
          </w:p>
        </w:tc>
        <w:tc>
          <w:tcPr>
            <w:tcW w:w="1677" w:type="dxa"/>
            <w:gridSpan w:val="2"/>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电话</w:t>
            </w:r>
          </w:p>
        </w:tc>
        <w:tc>
          <w:tcPr>
            <w:tcW w:w="1678" w:type="dxa"/>
            <w:gridSpan w:val="2"/>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19118244113</w:t>
            </w:r>
          </w:p>
        </w:tc>
        <w:tc>
          <w:tcPr>
            <w:tcW w:w="1677" w:type="dxa"/>
            <w:gridSpan w:val="2"/>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邮箱</w:t>
            </w:r>
          </w:p>
        </w:tc>
        <w:tc>
          <w:tcPr>
            <w:tcW w:w="1678" w:type="dxa"/>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zhihang603@foxmail.com</w:t>
            </w:r>
          </w:p>
        </w:tc>
      </w:tr>
      <w:tr>
        <w:tblPrEx>
          <w:tblCellMar>
            <w:top w:w="0" w:type="dxa"/>
            <w:left w:w="108" w:type="dxa"/>
            <w:bottom w:w="0" w:type="dxa"/>
            <w:right w:w="108" w:type="dxa"/>
          </w:tblCellMar>
        </w:tblPrEx>
        <w:trPr>
          <w:gridAfter w:val="1"/>
          <w:wAfter w:w="4265" w:type="dxa"/>
          <w:trHeight w:val="454" w:hRule="atLeast"/>
        </w:trPr>
        <w:tc>
          <w:tcPr>
            <w:tcW w:w="1384" w:type="dxa"/>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技术联系人</w:t>
            </w:r>
          </w:p>
        </w:tc>
        <w:tc>
          <w:tcPr>
            <w:tcW w:w="1971" w:type="dxa"/>
            <w:gridSpan w:val="3"/>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王贺</w:t>
            </w:r>
          </w:p>
        </w:tc>
        <w:tc>
          <w:tcPr>
            <w:tcW w:w="1677" w:type="dxa"/>
            <w:gridSpan w:val="2"/>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电话</w:t>
            </w:r>
          </w:p>
        </w:tc>
        <w:tc>
          <w:tcPr>
            <w:tcW w:w="1678" w:type="dxa"/>
            <w:gridSpan w:val="2"/>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17854682060</w:t>
            </w:r>
          </w:p>
        </w:tc>
        <w:tc>
          <w:tcPr>
            <w:tcW w:w="1677" w:type="dxa"/>
            <w:gridSpan w:val="2"/>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邮箱</w:t>
            </w:r>
          </w:p>
        </w:tc>
        <w:tc>
          <w:tcPr>
            <w:tcW w:w="1678" w:type="dxa"/>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say0524@126.com</w:t>
            </w:r>
          </w:p>
        </w:tc>
      </w:tr>
      <w:tr>
        <w:tblPrEx>
          <w:tblCellMar>
            <w:top w:w="0" w:type="dxa"/>
            <w:left w:w="108" w:type="dxa"/>
            <w:bottom w:w="0" w:type="dxa"/>
            <w:right w:w="108" w:type="dxa"/>
          </w:tblCellMar>
        </w:tblPrEx>
        <w:trPr>
          <w:gridAfter w:val="1"/>
          <w:wAfter w:w="4265" w:type="dxa"/>
          <w:trHeight w:val="454" w:hRule="atLeast"/>
        </w:trPr>
        <w:tc>
          <w:tcPr>
            <w:tcW w:w="1384" w:type="dxa"/>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风控联系人</w:t>
            </w:r>
          </w:p>
        </w:tc>
        <w:tc>
          <w:tcPr>
            <w:tcW w:w="1971" w:type="dxa"/>
            <w:gridSpan w:val="3"/>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梁炜</w:t>
            </w:r>
          </w:p>
        </w:tc>
        <w:tc>
          <w:tcPr>
            <w:tcW w:w="1677" w:type="dxa"/>
            <w:gridSpan w:val="2"/>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电话</w:t>
            </w:r>
          </w:p>
        </w:tc>
        <w:tc>
          <w:tcPr>
            <w:tcW w:w="1678" w:type="dxa"/>
            <w:gridSpan w:val="2"/>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 xml:space="preserve">17629202666 </w:t>
            </w:r>
          </w:p>
        </w:tc>
        <w:tc>
          <w:tcPr>
            <w:tcW w:w="1677" w:type="dxa"/>
            <w:gridSpan w:val="2"/>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邮箱</w:t>
            </w:r>
          </w:p>
        </w:tc>
        <w:tc>
          <w:tcPr>
            <w:tcW w:w="1678" w:type="dxa"/>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frown0339@163.com</w:t>
            </w:r>
          </w:p>
        </w:tc>
      </w:tr>
      <w:tr>
        <w:tblPrEx>
          <w:tblCellMar>
            <w:top w:w="0" w:type="dxa"/>
            <w:left w:w="108" w:type="dxa"/>
            <w:bottom w:w="0" w:type="dxa"/>
            <w:right w:w="108" w:type="dxa"/>
          </w:tblCellMar>
        </w:tblPrEx>
        <w:trPr>
          <w:gridAfter w:val="1"/>
          <w:wAfter w:w="4265" w:type="dxa"/>
          <w:trHeight w:val="454" w:hRule="atLeast"/>
        </w:trPr>
        <w:tc>
          <w:tcPr>
            <w:tcW w:w="1384" w:type="dxa"/>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财务联系人</w:t>
            </w:r>
          </w:p>
        </w:tc>
        <w:tc>
          <w:tcPr>
            <w:tcW w:w="1971" w:type="dxa"/>
            <w:gridSpan w:val="3"/>
            <w:tcBorders>
              <w:left w:val="double" w:color="auto" w:sz="4" w:space="0"/>
              <w:bottom w:val="single" w:color="auto" w:sz="4" w:space="0"/>
              <w:right w:val="double" w:color="auto" w:sz="4" w:space="0"/>
            </w:tcBorders>
            <w:shd w:val="clear" w:color="auto" w:fill="auto"/>
            <w:vAlign w:val="center"/>
          </w:tcPr>
          <w:p>
            <w:pPr>
              <w:ind w:firstLine="34"/>
              <w:rPr>
                <w:szCs w:val="21"/>
              </w:rPr>
            </w:pPr>
          </w:p>
        </w:tc>
        <w:tc>
          <w:tcPr>
            <w:tcW w:w="1677" w:type="dxa"/>
            <w:gridSpan w:val="2"/>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电话</w:t>
            </w:r>
          </w:p>
        </w:tc>
        <w:tc>
          <w:tcPr>
            <w:tcW w:w="1678" w:type="dxa"/>
            <w:gridSpan w:val="2"/>
            <w:tcBorders>
              <w:left w:val="double" w:color="auto" w:sz="4" w:space="0"/>
              <w:bottom w:val="single" w:color="auto" w:sz="4" w:space="0"/>
              <w:right w:val="double" w:color="auto" w:sz="4" w:space="0"/>
            </w:tcBorders>
            <w:shd w:val="clear" w:color="auto" w:fill="auto"/>
            <w:vAlign w:val="center"/>
          </w:tcPr>
          <w:p>
            <w:pPr>
              <w:ind w:firstLine="34"/>
              <w:rPr>
                <w:szCs w:val="21"/>
              </w:rPr>
            </w:pPr>
          </w:p>
        </w:tc>
        <w:tc>
          <w:tcPr>
            <w:tcW w:w="1677" w:type="dxa"/>
            <w:gridSpan w:val="2"/>
            <w:tcBorders>
              <w:left w:val="double" w:color="auto" w:sz="4" w:space="0"/>
              <w:bottom w:val="single" w:color="auto" w:sz="4" w:space="0"/>
              <w:right w:val="double" w:color="auto" w:sz="4" w:space="0"/>
            </w:tcBorders>
            <w:shd w:val="clear" w:color="auto" w:fill="auto"/>
            <w:vAlign w:val="center"/>
          </w:tcPr>
          <w:p>
            <w:pPr>
              <w:ind w:firstLine="34"/>
              <w:rPr>
                <w:szCs w:val="21"/>
              </w:rPr>
            </w:pPr>
            <w:r>
              <w:rPr>
                <w:rFonts w:hint="eastAsia"/>
                <w:szCs w:val="21"/>
              </w:rPr>
              <w:t>邮箱</w:t>
            </w:r>
          </w:p>
        </w:tc>
        <w:tc>
          <w:tcPr>
            <w:tcW w:w="1678" w:type="dxa"/>
            <w:tcBorders>
              <w:left w:val="double" w:color="auto" w:sz="4" w:space="0"/>
              <w:bottom w:val="single" w:color="auto" w:sz="4" w:space="0"/>
              <w:right w:val="double" w:color="auto" w:sz="4" w:space="0"/>
            </w:tcBorders>
            <w:shd w:val="clear" w:color="auto" w:fill="auto"/>
            <w:vAlign w:val="center"/>
          </w:tcPr>
          <w:p>
            <w:pPr>
              <w:ind w:firstLine="34"/>
              <w:rPr>
                <w:szCs w:val="21"/>
              </w:rPr>
            </w:pPr>
          </w:p>
        </w:tc>
      </w:tr>
    </w:tbl>
    <w:p>
      <w:pPr>
        <w:tabs>
          <w:tab w:val="left" w:pos="426"/>
        </w:tabs>
        <w:spacing w:line="360" w:lineRule="exact"/>
        <w:jc w:val="center"/>
        <w:rPr>
          <w:rFonts w:ascii="宋体" w:cs="Arial"/>
          <w:b/>
          <w:sz w:val="30"/>
          <w:szCs w:val="30"/>
          <w:u w:color="000000"/>
        </w:rPr>
      </w:pPr>
    </w:p>
    <w:p>
      <w:pPr>
        <w:tabs>
          <w:tab w:val="left" w:pos="426"/>
        </w:tabs>
        <w:spacing w:line="360" w:lineRule="exact"/>
        <w:jc w:val="center"/>
        <w:rPr>
          <w:rFonts w:ascii="宋体" w:cs="Arial"/>
          <w:b/>
          <w:sz w:val="30"/>
          <w:szCs w:val="30"/>
          <w:u w:color="000000"/>
        </w:rPr>
      </w:pPr>
    </w:p>
    <w:p>
      <w:pPr>
        <w:rPr>
          <w:rFonts w:ascii="宋体" w:eastAsia="PMingLiU" w:cs="Arial"/>
          <w:szCs w:val="21"/>
          <w:lang w:eastAsia="zh-TW"/>
        </w:rPr>
      </w:pPr>
    </w:p>
    <w:p>
      <w:pPr>
        <w:rPr>
          <w:rFonts w:ascii="宋体" w:cs="Arial"/>
          <w:b/>
          <w:szCs w:val="21"/>
        </w:rPr>
      </w:pPr>
      <w:r>
        <w:rPr>
          <w:rFonts w:hint="eastAsia" w:ascii="宋体" w:hAnsi="宋体" w:cs="Arial"/>
          <w:b/>
          <w:szCs w:val="21"/>
        </w:rPr>
        <w:t xml:space="preserve">甲方签章：临沂至航国际贸易有限公司               </w:t>
      </w:r>
      <w:r>
        <w:rPr>
          <w:rFonts w:hint="eastAsia" w:ascii="宋体" w:hAnsi="宋体" w:cs="Arial"/>
          <w:b/>
          <w:szCs w:val="21"/>
          <w:lang w:val="en-US" w:eastAsia="zh-CN"/>
        </w:rPr>
        <w:t xml:space="preserve">      </w:t>
      </w:r>
      <w:bookmarkStart w:id="2" w:name="_GoBack"/>
      <w:bookmarkEnd w:id="2"/>
      <w:r>
        <w:rPr>
          <w:rFonts w:hint="eastAsia" w:ascii="宋体" w:hAnsi="宋体" w:cs="Arial"/>
          <w:b/>
          <w:szCs w:val="21"/>
        </w:rPr>
        <w:t>乙方签章：易联支付有限公司</w:t>
      </w:r>
    </w:p>
    <w:p>
      <w:pPr>
        <w:rPr>
          <w:rFonts w:ascii="宋体" w:hAnsi="宋体" w:cs="Arial" w:eastAsiaTheme="minorEastAsia"/>
          <w:b/>
          <w:szCs w:val="21"/>
        </w:rPr>
      </w:pPr>
      <w:r>
        <w:rPr>
          <w:rFonts w:hint="eastAsia" w:ascii="宋体" w:hAnsi="宋体" w:cs="Arial"/>
          <w:b/>
          <w:szCs w:val="21"/>
        </w:rPr>
        <w:t>（公章）                                              （公章）</w:t>
      </w:r>
    </w:p>
    <w:p>
      <w:pPr>
        <w:rPr>
          <w:rFonts w:ascii="宋体" w:hAnsi="宋体" w:eastAsia="PMingLiU" w:cs="Arial"/>
          <w:b/>
          <w:szCs w:val="21"/>
        </w:rPr>
      </w:pPr>
      <w:r>
        <w:rPr>
          <w:rFonts w:hint="eastAsia" w:ascii="宋体" w:hAnsi="宋体" w:cs="Arial"/>
          <w:b/>
          <w:szCs w:val="21"/>
        </w:rPr>
        <w:t>法定代表人或授权代表签字：                             法定代表人或授权代表签字：</w:t>
      </w:r>
    </w:p>
    <w:p>
      <w:pPr>
        <w:rPr>
          <w:rFonts w:ascii="宋体" w:eastAsia="PMingLiU" w:cs="Arial"/>
          <w:b/>
          <w:szCs w:val="21"/>
        </w:rPr>
      </w:pPr>
    </w:p>
    <w:p>
      <w:pPr>
        <w:rPr>
          <w:rFonts w:ascii="宋体" w:eastAsia="PMingLiU" w:cs="Arial"/>
          <w:b/>
          <w:szCs w:val="21"/>
        </w:rPr>
      </w:pPr>
      <w:r>
        <w:rPr>
          <w:rFonts w:hint="eastAsia" w:ascii="宋体" w:hAnsi="宋体" w:cs="Arial"/>
          <w:b/>
          <w:szCs w:val="21"/>
        </w:rPr>
        <w:t>日期：    年  月  日                                   日期：      年   月   日</w:t>
      </w:r>
    </w:p>
    <w:sectPr>
      <w:footerReference r:id="rId4" w:type="default"/>
      <w:pgSz w:w="11906" w:h="16838"/>
      <w:pgMar w:top="1440" w:right="1191" w:bottom="1440" w:left="11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59155" cy="14795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859155" cy="147955"/>
                      </a:xfrm>
                      <a:prstGeom prst="rect">
                        <a:avLst/>
                      </a:prstGeom>
                      <a:noFill/>
                      <a:ln>
                        <a:noFill/>
                      </a:ln>
                    </wps:spPr>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r>
                            <w:rPr>
                              <w:rFonts w:hint="eastAsia"/>
                              <w:sz w:val="18"/>
                            </w:rPr>
                            <w:t xml:space="preserve"> 页 共 </w:t>
                          </w:r>
                          <w:r>
                            <w:rPr>
                              <w:sz w:val="18"/>
                            </w:rPr>
                            <w:fldChar w:fldCharType="begin"/>
                          </w:r>
                          <w:r>
                            <w:rPr>
                              <w:sz w:val="18"/>
                            </w:rPr>
                            <w:instrText xml:space="preserve"> NUMPAGES  \* MERGEFORMAT </w:instrText>
                          </w:r>
                          <w:r>
                            <w:rPr>
                              <w:sz w:val="18"/>
                            </w:rPr>
                            <w:fldChar w:fldCharType="separate"/>
                          </w:r>
                          <w:r>
                            <w:rPr>
                              <w:sz w:val="18"/>
                            </w:rPr>
                            <w:t>9</w:t>
                          </w:r>
                          <w:r>
                            <w:rPr>
                              <w:sz w:val="18"/>
                            </w:rPr>
                            <w:fldChar w:fldCharType="end"/>
                          </w:r>
                          <w:r>
                            <w:rPr>
                              <w:rFonts w:hint="eastAsia"/>
                              <w:sz w:val="18"/>
                            </w:rPr>
                            <w:t xml:space="preserve"> 页</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65pt;width:67.65pt;mso-position-horizontal:center;mso-position-horizontal-relative:margin;mso-wrap-style:none;z-index:251659264;mso-width-relative:page;mso-height-relative:page;" filled="f" stroked="f" coordsize="21600,21600" o:gfxdata="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hdWGZ0gAAAAQBAAAPAAAAAAAAAAEAIAAAACIAAABkcnMv&#10;ZG93bnJldi54bWxQSwECFAAUAAAACACHTuJAQyAKgwkCAAACBAAADgAAAAAAAAABACAAAAAhAQAA&#10;ZHJzL2Uyb0RvYy54bWxQSwUGAAAAAAYABgBZAQAAnAUAAAAA&#10;">
              <v:fill on="f" focussize="0,0"/>
              <v:stroke on="f"/>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r>
                      <w:rPr>
                        <w:rFonts w:hint="eastAsia"/>
                        <w:sz w:val="18"/>
                      </w:rPr>
                      <w:t xml:space="preserve"> 页 共 </w:t>
                    </w:r>
                    <w:r>
                      <w:rPr>
                        <w:sz w:val="18"/>
                      </w:rPr>
                      <w:fldChar w:fldCharType="begin"/>
                    </w:r>
                    <w:r>
                      <w:rPr>
                        <w:sz w:val="18"/>
                      </w:rPr>
                      <w:instrText xml:space="preserve"> NUMPAGES  \* MERGEFORMAT </w:instrText>
                    </w:r>
                    <w:r>
                      <w:rPr>
                        <w:sz w:val="18"/>
                      </w:rPr>
                      <w:fldChar w:fldCharType="separate"/>
                    </w:r>
                    <w:r>
                      <w:rPr>
                        <w:sz w:val="18"/>
                      </w:rPr>
                      <w:t>9</w:t>
                    </w:r>
                    <w:r>
                      <w:rPr>
                        <w:sz w:val="18"/>
                      </w:rPr>
                      <w:fldChar w:fldCharType="end"/>
                    </w:r>
                    <w:r>
                      <w:rPr>
                        <w:rFonts w:hint="eastAsia"/>
                        <w:sz w:val="1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left"/>
    </w:pPr>
    <w:r>
      <w:drawing>
        <wp:inline distT="0" distB="0" distL="0" distR="0">
          <wp:extent cx="1018540" cy="240665"/>
          <wp:effectExtent l="0" t="0" r="0" b="6985"/>
          <wp:docPr id="4" name="图片 4" descr="C:\Users\user\Desktop\微信图片_202207270942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user\Desktop\微信图片_2022072709420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18800" cy="241188"/>
                  </a:xfrm>
                  <a:prstGeom prst="rect">
                    <a:avLst/>
                  </a:prstGeom>
                  <a:noFill/>
                  <a:ln>
                    <a:noFill/>
                  </a:ln>
                </pic:spPr>
              </pic:pic>
            </a:graphicData>
          </a:graphic>
        </wp:inline>
      </w:drawing>
    </w:r>
    <w:r>
      <w:rPr>
        <w:color w:val="FF0000"/>
      </w:rPr>
      <w:t xml:space="preserve"> </w:t>
    </w:r>
    <w:r>
      <w:rPr>
        <w:rFonts w:hint="eastAsia"/>
        <w:color w:val="FF0000"/>
      </w:rPr>
      <w:t xml:space="preserve">                                                                      </w:t>
    </w:r>
    <w:r>
      <w:rPr>
        <w:color w:val="FF0000"/>
      </w:rPr>
      <w:t>EL-HT-</w:t>
    </w:r>
    <w:r>
      <w:rPr>
        <w:rFonts w:hint="eastAsia"/>
        <w:color w:val="FF0000"/>
      </w:rPr>
      <w:t>DSF</w:t>
    </w:r>
    <w:r>
      <w:rPr>
        <w:color w:val="FF0000"/>
      </w:rPr>
      <w:t>-20</w:t>
    </w:r>
    <w:r>
      <w:rPr>
        <w:rFonts w:hint="eastAsia"/>
        <w:color w:val="FF0000"/>
      </w:rPr>
      <w:t>20</w:t>
    </w:r>
    <w:r>
      <w:rPr>
        <w:color w:val="FF0000"/>
      </w:rPr>
      <w:t>-</w:t>
    </w:r>
    <w:r>
      <w:rPr>
        <w:rFonts w:hint="eastAsia"/>
        <w:color w:val="FF0000"/>
      </w:rPr>
      <w:t>1</w:t>
    </w:r>
    <w:r>
      <w:rPr>
        <w:color w:val="FF0000"/>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0"/>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c2YTE3NThiNTJhNGU1MTVkYmZkNzhlNGNkNjgyMDkifQ=="/>
  </w:docVars>
  <w:rsids>
    <w:rsidRoot w:val="00DD30C7"/>
    <w:rsid w:val="0001303D"/>
    <w:rsid w:val="000132D7"/>
    <w:rsid w:val="0001425C"/>
    <w:rsid w:val="00021150"/>
    <w:rsid w:val="00041840"/>
    <w:rsid w:val="00050750"/>
    <w:rsid w:val="0005504E"/>
    <w:rsid w:val="00055F78"/>
    <w:rsid w:val="00072637"/>
    <w:rsid w:val="000739AF"/>
    <w:rsid w:val="00082437"/>
    <w:rsid w:val="000A4CA9"/>
    <w:rsid w:val="000B336E"/>
    <w:rsid w:val="000B3651"/>
    <w:rsid w:val="000B7504"/>
    <w:rsid w:val="000C718A"/>
    <w:rsid w:val="000C77F8"/>
    <w:rsid w:val="000D610B"/>
    <w:rsid w:val="000E1C3E"/>
    <w:rsid w:val="00114183"/>
    <w:rsid w:val="001218BD"/>
    <w:rsid w:val="00121DA1"/>
    <w:rsid w:val="00122CB7"/>
    <w:rsid w:val="00131038"/>
    <w:rsid w:val="00153437"/>
    <w:rsid w:val="00154551"/>
    <w:rsid w:val="001620A8"/>
    <w:rsid w:val="0016415B"/>
    <w:rsid w:val="00172C8D"/>
    <w:rsid w:val="00185719"/>
    <w:rsid w:val="00186A99"/>
    <w:rsid w:val="00191099"/>
    <w:rsid w:val="00192FB1"/>
    <w:rsid w:val="0019583E"/>
    <w:rsid w:val="001A19DC"/>
    <w:rsid w:val="001A5033"/>
    <w:rsid w:val="001B78A1"/>
    <w:rsid w:val="001E2342"/>
    <w:rsid w:val="001F7953"/>
    <w:rsid w:val="002004DD"/>
    <w:rsid w:val="00233CB9"/>
    <w:rsid w:val="00246F89"/>
    <w:rsid w:val="00254D3E"/>
    <w:rsid w:val="002731B4"/>
    <w:rsid w:val="00275934"/>
    <w:rsid w:val="00282225"/>
    <w:rsid w:val="002D29EA"/>
    <w:rsid w:val="002D3738"/>
    <w:rsid w:val="002E197D"/>
    <w:rsid w:val="002E1C09"/>
    <w:rsid w:val="002E5A89"/>
    <w:rsid w:val="0031714B"/>
    <w:rsid w:val="003300E5"/>
    <w:rsid w:val="003424C7"/>
    <w:rsid w:val="00363F16"/>
    <w:rsid w:val="00365160"/>
    <w:rsid w:val="00365DC2"/>
    <w:rsid w:val="0037215F"/>
    <w:rsid w:val="003737F0"/>
    <w:rsid w:val="00375A8A"/>
    <w:rsid w:val="003873C2"/>
    <w:rsid w:val="00387A75"/>
    <w:rsid w:val="00392E86"/>
    <w:rsid w:val="003932A5"/>
    <w:rsid w:val="003A0345"/>
    <w:rsid w:val="003A5633"/>
    <w:rsid w:val="003B655D"/>
    <w:rsid w:val="003D2BC2"/>
    <w:rsid w:val="003D5A99"/>
    <w:rsid w:val="003D5E85"/>
    <w:rsid w:val="003E0FDE"/>
    <w:rsid w:val="003E110B"/>
    <w:rsid w:val="003F2379"/>
    <w:rsid w:val="003F4A95"/>
    <w:rsid w:val="00411426"/>
    <w:rsid w:val="00414484"/>
    <w:rsid w:val="00434E2F"/>
    <w:rsid w:val="004448B7"/>
    <w:rsid w:val="00485BD6"/>
    <w:rsid w:val="004C5D69"/>
    <w:rsid w:val="004C6DAB"/>
    <w:rsid w:val="004C76E1"/>
    <w:rsid w:val="004D3C90"/>
    <w:rsid w:val="004D4D95"/>
    <w:rsid w:val="004D7288"/>
    <w:rsid w:val="00502348"/>
    <w:rsid w:val="0051646A"/>
    <w:rsid w:val="00517A0F"/>
    <w:rsid w:val="005270C9"/>
    <w:rsid w:val="00534982"/>
    <w:rsid w:val="0055411D"/>
    <w:rsid w:val="005577C7"/>
    <w:rsid w:val="005B1E56"/>
    <w:rsid w:val="005C17F5"/>
    <w:rsid w:val="005C47A8"/>
    <w:rsid w:val="00603711"/>
    <w:rsid w:val="00616235"/>
    <w:rsid w:val="00637C50"/>
    <w:rsid w:val="00675546"/>
    <w:rsid w:val="00690DD9"/>
    <w:rsid w:val="00691E1D"/>
    <w:rsid w:val="006B12A3"/>
    <w:rsid w:val="006D46D7"/>
    <w:rsid w:val="006D6377"/>
    <w:rsid w:val="006E33DC"/>
    <w:rsid w:val="006E6FF0"/>
    <w:rsid w:val="007255E1"/>
    <w:rsid w:val="00731AD6"/>
    <w:rsid w:val="00743EB5"/>
    <w:rsid w:val="007562D3"/>
    <w:rsid w:val="00757994"/>
    <w:rsid w:val="0076669A"/>
    <w:rsid w:val="007755F7"/>
    <w:rsid w:val="00776552"/>
    <w:rsid w:val="007916BD"/>
    <w:rsid w:val="007A184A"/>
    <w:rsid w:val="007B38AF"/>
    <w:rsid w:val="007B6B46"/>
    <w:rsid w:val="007C36A5"/>
    <w:rsid w:val="007C4D21"/>
    <w:rsid w:val="007C5435"/>
    <w:rsid w:val="007E264B"/>
    <w:rsid w:val="007E34F8"/>
    <w:rsid w:val="007F48EC"/>
    <w:rsid w:val="00804D8F"/>
    <w:rsid w:val="00814A8D"/>
    <w:rsid w:val="0081596F"/>
    <w:rsid w:val="00821092"/>
    <w:rsid w:val="008418AE"/>
    <w:rsid w:val="0084723E"/>
    <w:rsid w:val="00847FEE"/>
    <w:rsid w:val="008638F4"/>
    <w:rsid w:val="0088387D"/>
    <w:rsid w:val="00883DBC"/>
    <w:rsid w:val="00884576"/>
    <w:rsid w:val="00897050"/>
    <w:rsid w:val="008A006C"/>
    <w:rsid w:val="008A59DC"/>
    <w:rsid w:val="008C31DA"/>
    <w:rsid w:val="008C62F6"/>
    <w:rsid w:val="008D7FFD"/>
    <w:rsid w:val="008F2554"/>
    <w:rsid w:val="0091772B"/>
    <w:rsid w:val="00930AAC"/>
    <w:rsid w:val="00945FC0"/>
    <w:rsid w:val="0097495B"/>
    <w:rsid w:val="0097583A"/>
    <w:rsid w:val="009818F9"/>
    <w:rsid w:val="009A5B92"/>
    <w:rsid w:val="009A7273"/>
    <w:rsid w:val="009C33C0"/>
    <w:rsid w:val="009F0B6D"/>
    <w:rsid w:val="009F0EED"/>
    <w:rsid w:val="00A1204A"/>
    <w:rsid w:val="00A21BFA"/>
    <w:rsid w:val="00A22C34"/>
    <w:rsid w:val="00A25B94"/>
    <w:rsid w:val="00A301AD"/>
    <w:rsid w:val="00A4525D"/>
    <w:rsid w:val="00A45C66"/>
    <w:rsid w:val="00A63B3C"/>
    <w:rsid w:val="00A775F7"/>
    <w:rsid w:val="00A92CA8"/>
    <w:rsid w:val="00AB0A0D"/>
    <w:rsid w:val="00AC3E7D"/>
    <w:rsid w:val="00AC6295"/>
    <w:rsid w:val="00AD5337"/>
    <w:rsid w:val="00AD7FB3"/>
    <w:rsid w:val="00B11065"/>
    <w:rsid w:val="00B16048"/>
    <w:rsid w:val="00B1778B"/>
    <w:rsid w:val="00B23B35"/>
    <w:rsid w:val="00B516CB"/>
    <w:rsid w:val="00B618DE"/>
    <w:rsid w:val="00B64320"/>
    <w:rsid w:val="00B94DB3"/>
    <w:rsid w:val="00BA1F08"/>
    <w:rsid w:val="00BA6F2A"/>
    <w:rsid w:val="00BB723A"/>
    <w:rsid w:val="00BC5732"/>
    <w:rsid w:val="00BE26A2"/>
    <w:rsid w:val="00BE2D39"/>
    <w:rsid w:val="00BE79AF"/>
    <w:rsid w:val="00C056D5"/>
    <w:rsid w:val="00C10BA1"/>
    <w:rsid w:val="00C31B2F"/>
    <w:rsid w:val="00C33445"/>
    <w:rsid w:val="00C3630B"/>
    <w:rsid w:val="00C40C7B"/>
    <w:rsid w:val="00C47C09"/>
    <w:rsid w:val="00C647D3"/>
    <w:rsid w:val="00C8164A"/>
    <w:rsid w:val="00C9622E"/>
    <w:rsid w:val="00C9698C"/>
    <w:rsid w:val="00CA55AD"/>
    <w:rsid w:val="00CC0348"/>
    <w:rsid w:val="00CC2C59"/>
    <w:rsid w:val="00CE02D3"/>
    <w:rsid w:val="00CE186D"/>
    <w:rsid w:val="00D056AE"/>
    <w:rsid w:val="00D07819"/>
    <w:rsid w:val="00D31F38"/>
    <w:rsid w:val="00D55621"/>
    <w:rsid w:val="00D66452"/>
    <w:rsid w:val="00D7047E"/>
    <w:rsid w:val="00D74807"/>
    <w:rsid w:val="00D97D91"/>
    <w:rsid w:val="00DC74AD"/>
    <w:rsid w:val="00DD2D30"/>
    <w:rsid w:val="00DD30C7"/>
    <w:rsid w:val="00DE10F0"/>
    <w:rsid w:val="00DF6DB1"/>
    <w:rsid w:val="00E07815"/>
    <w:rsid w:val="00E15174"/>
    <w:rsid w:val="00E33674"/>
    <w:rsid w:val="00E4529D"/>
    <w:rsid w:val="00E45CF6"/>
    <w:rsid w:val="00E4782E"/>
    <w:rsid w:val="00E55E94"/>
    <w:rsid w:val="00E56AFE"/>
    <w:rsid w:val="00E61EC5"/>
    <w:rsid w:val="00E62741"/>
    <w:rsid w:val="00E673EE"/>
    <w:rsid w:val="00E70502"/>
    <w:rsid w:val="00E87AF1"/>
    <w:rsid w:val="00EA3562"/>
    <w:rsid w:val="00EA5130"/>
    <w:rsid w:val="00ED3A48"/>
    <w:rsid w:val="00ED7194"/>
    <w:rsid w:val="00F04EC8"/>
    <w:rsid w:val="00F55338"/>
    <w:rsid w:val="00F625C7"/>
    <w:rsid w:val="00F65242"/>
    <w:rsid w:val="00F70FA2"/>
    <w:rsid w:val="00F94109"/>
    <w:rsid w:val="00F952DF"/>
    <w:rsid w:val="00F97167"/>
    <w:rsid w:val="00FA1624"/>
    <w:rsid w:val="00FA2874"/>
    <w:rsid w:val="00FA36D9"/>
    <w:rsid w:val="00FC31C5"/>
    <w:rsid w:val="00FD1932"/>
    <w:rsid w:val="01806305"/>
    <w:rsid w:val="02FE1FF9"/>
    <w:rsid w:val="04716658"/>
    <w:rsid w:val="0EAC0F21"/>
    <w:rsid w:val="104B0591"/>
    <w:rsid w:val="151505A6"/>
    <w:rsid w:val="173E0EAF"/>
    <w:rsid w:val="1B1736FE"/>
    <w:rsid w:val="1ED2479E"/>
    <w:rsid w:val="1F073974"/>
    <w:rsid w:val="22991E80"/>
    <w:rsid w:val="2357078B"/>
    <w:rsid w:val="25533A48"/>
    <w:rsid w:val="25BC495C"/>
    <w:rsid w:val="28370309"/>
    <w:rsid w:val="28FD484F"/>
    <w:rsid w:val="299A214E"/>
    <w:rsid w:val="2C187F64"/>
    <w:rsid w:val="30C8380E"/>
    <w:rsid w:val="35C71C24"/>
    <w:rsid w:val="37F62EDD"/>
    <w:rsid w:val="39F626EE"/>
    <w:rsid w:val="3ABC496A"/>
    <w:rsid w:val="3C624E3A"/>
    <w:rsid w:val="48DC4872"/>
    <w:rsid w:val="4F3B50DC"/>
    <w:rsid w:val="54AE49FC"/>
    <w:rsid w:val="55A779A1"/>
    <w:rsid w:val="577F009D"/>
    <w:rsid w:val="594D1592"/>
    <w:rsid w:val="5BB90387"/>
    <w:rsid w:val="5CE26B6F"/>
    <w:rsid w:val="5F0D706D"/>
    <w:rsid w:val="62755297"/>
    <w:rsid w:val="634133A9"/>
    <w:rsid w:val="65B975F2"/>
    <w:rsid w:val="69E26CCA"/>
    <w:rsid w:val="6BFA5AB3"/>
    <w:rsid w:val="74715218"/>
    <w:rsid w:val="7B743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qFormat="1" w:unhideWhenUsed="0" w:uiPriority="99" w:name="annotation text"/>
    <w:lsdException w:unhideWhenUsed="0" w:uiPriority="99" w:name="header"/>
    <w:lsdException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ocked="1"/>
    <w:lsdException w:uiPriority="0" w:name="List 2"/>
    <w:lsdException w:uiPriority="0" w:name="List 3"/>
    <w:lsdException w:unhideWhenUsed="0" w:uiPriority="0" w:semiHidden="0" w:name="List 4" w:locked="1"/>
    <w:lsdException w:unhideWhenUsed="0" w:uiPriority="0" w:semiHidden="0" w:name="List 5" w:locked="1"/>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ocked="1"/>
    <w:lsdException w:qFormat="1" w:unhideWhenUsed="0" w:uiPriority="99" w:name="Date"/>
    <w:lsdException w:unhideWhenUsed="0" w:uiPriority="0" w:semiHidden="0" w:name="Body Text First Indent" w:locked="1"/>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3">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qFormat/>
    <w:uiPriority w:val="99"/>
    <w:pPr>
      <w:jc w:val="left"/>
    </w:pPr>
    <w:rPr>
      <w:sz w:val="22"/>
    </w:rPr>
  </w:style>
  <w:style w:type="paragraph" w:styleId="3">
    <w:name w:val="Body Text Indent"/>
    <w:basedOn w:val="1"/>
    <w:link w:val="25"/>
    <w:qFormat/>
    <w:uiPriority w:val="99"/>
    <w:pPr>
      <w:spacing w:after="120"/>
      <w:ind w:left="420" w:leftChars="200"/>
    </w:pPr>
    <w:rPr>
      <w:rFonts w:ascii="Times New Roman" w:hAnsi="Times New Roman"/>
      <w:sz w:val="24"/>
      <w:szCs w:val="24"/>
    </w:rPr>
  </w:style>
  <w:style w:type="paragraph" w:styleId="4">
    <w:name w:val="Plain Text"/>
    <w:basedOn w:val="1"/>
    <w:link w:val="26"/>
    <w:qFormat/>
    <w:uiPriority w:val="99"/>
    <w:pPr>
      <w:widowControl/>
      <w:jc w:val="left"/>
    </w:pPr>
    <w:rPr>
      <w:rFonts w:ascii="宋体" w:hAnsi="宋体" w:cs="宋体"/>
      <w:kern w:val="0"/>
      <w:sz w:val="18"/>
      <w:szCs w:val="18"/>
    </w:rPr>
  </w:style>
  <w:style w:type="paragraph" w:styleId="5">
    <w:name w:val="Date"/>
    <w:basedOn w:val="1"/>
    <w:next w:val="1"/>
    <w:link w:val="24"/>
    <w:semiHidden/>
    <w:qFormat/>
    <w:uiPriority w:val="99"/>
    <w:pPr>
      <w:ind w:left="100" w:leftChars="2500"/>
    </w:pPr>
    <w:rPr>
      <w:sz w:val="22"/>
    </w:rPr>
  </w:style>
  <w:style w:type="paragraph" w:styleId="6">
    <w:name w:val="Balloon Text"/>
    <w:basedOn w:val="1"/>
    <w:link w:val="23"/>
    <w:semiHidden/>
    <w:uiPriority w:val="99"/>
    <w:rPr>
      <w:sz w:val="18"/>
      <w:szCs w:val="18"/>
    </w:rPr>
  </w:style>
  <w:style w:type="paragraph" w:styleId="7">
    <w:name w:val="footer"/>
    <w:basedOn w:val="1"/>
    <w:link w:val="20"/>
    <w:uiPriority w:val="99"/>
    <w:pPr>
      <w:tabs>
        <w:tab w:val="center" w:pos="4153"/>
        <w:tab w:val="right" w:pos="8306"/>
      </w:tabs>
      <w:snapToGrid w:val="0"/>
      <w:jc w:val="left"/>
    </w:pPr>
    <w:rPr>
      <w:sz w:val="18"/>
      <w:szCs w:val="18"/>
    </w:rPr>
  </w:style>
  <w:style w:type="paragraph" w:styleId="8">
    <w:name w:val="header"/>
    <w:basedOn w:val="1"/>
    <w:link w:val="19"/>
    <w:semiHidden/>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22"/>
    <w:semiHidden/>
    <w:uiPriority w:val="99"/>
    <w:rPr>
      <w:b/>
      <w:bCs/>
    </w:rPr>
  </w:style>
  <w:style w:type="table" w:styleId="11">
    <w:name w:val="Table Grid"/>
    <w:basedOn w:val="10"/>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
    <w:name w:val="Light Shading Accent 5"/>
    <w:basedOn w:val="10"/>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nil"/>
          <w:bottom w:val="single" w:color="4BACC6" w:sz="8" w:space="0"/>
          <w:right w:val="nil"/>
          <w:insideH w:val="nil"/>
          <w:insideV w:val="nil"/>
          <w:tl2br w:val="nil"/>
          <w:tr2bl w:val="nil"/>
        </w:tcBorders>
      </w:tcPr>
    </w:tblStylePr>
    <w:tblStylePr w:type="lastRow">
      <w:pPr>
        <w:spacing w:before="0" w:after="0" w:line="240" w:lineRule="auto"/>
      </w:pPr>
      <w:rPr>
        <w:b/>
        <w:bCs/>
      </w:rPr>
      <w:tblPr/>
      <w:tcPr>
        <w:tcBorders>
          <w:top w:val="single" w:color="4BACC6" w:sz="8" w:space="0"/>
          <w:left w:val="nil"/>
          <w:bottom w:val="single" w:color="4BACC6" w:sz="8" w:space="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style>
  <w:style w:type="character" w:styleId="14">
    <w:name w:val="page number"/>
    <w:qFormat/>
    <w:uiPriority w:val="99"/>
    <w:rPr>
      <w:rFonts w:cs="Times New Roman"/>
    </w:rPr>
  </w:style>
  <w:style w:type="character" w:styleId="15">
    <w:name w:val="annotation reference"/>
    <w:semiHidden/>
    <w:qFormat/>
    <w:uiPriority w:val="99"/>
    <w:rPr>
      <w:rFonts w:cs="Times New Roman"/>
      <w:sz w:val="21"/>
      <w:szCs w:val="21"/>
    </w:rPr>
  </w:style>
  <w:style w:type="table" w:customStyle="1" w:styleId="16">
    <w:name w:val="浅色底纹 - 强调文字颜色 11"/>
    <w:basedOn w:val="10"/>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7">
    <w:name w:val="列出段落1"/>
    <w:basedOn w:val="1"/>
    <w:qFormat/>
    <w:uiPriority w:val="99"/>
    <w:pPr>
      <w:ind w:firstLine="420" w:firstLineChars="200"/>
    </w:pPr>
  </w:style>
  <w:style w:type="paragraph" w:customStyle="1" w:styleId="18">
    <w:name w:val="列出段落2"/>
    <w:basedOn w:val="1"/>
    <w:qFormat/>
    <w:uiPriority w:val="99"/>
    <w:pPr>
      <w:ind w:firstLine="420" w:firstLineChars="200"/>
    </w:pPr>
  </w:style>
  <w:style w:type="character" w:customStyle="1" w:styleId="19">
    <w:name w:val="页眉 字符"/>
    <w:link w:val="8"/>
    <w:semiHidden/>
    <w:qFormat/>
    <w:locked/>
    <w:uiPriority w:val="99"/>
    <w:rPr>
      <w:rFonts w:ascii="Calibri" w:hAnsi="Calibri" w:eastAsia="宋体" w:cs="Times New Roman"/>
      <w:kern w:val="2"/>
      <w:sz w:val="18"/>
      <w:szCs w:val="18"/>
      <w:lang w:val="en-US" w:eastAsia="zh-CN" w:bidi="ar-SA"/>
    </w:rPr>
  </w:style>
  <w:style w:type="character" w:customStyle="1" w:styleId="20">
    <w:name w:val="页脚 字符"/>
    <w:link w:val="7"/>
    <w:qFormat/>
    <w:locked/>
    <w:uiPriority w:val="99"/>
    <w:rPr>
      <w:rFonts w:ascii="Calibri" w:hAnsi="Calibri" w:eastAsia="宋体" w:cs="Times New Roman"/>
      <w:kern w:val="2"/>
      <w:sz w:val="18"/>
      <w:szCs w:val="18"/>
      <w:lang w:val="en-US" w:eastAsia="zh-CN" w:bidi="ar-SA"/>
    </w:rPr>
  </w:style>
  <w:style w:type="character" w:customStyle="1" w:styleId="21">
    <w:name w:val="批注文字 字符"/>
    <w:link w:val="2"/>
    <w:semiHidden/>
    <w:locked/>
    <w:uiPriority w:val="99"/>
    <w:rPr>
      <w:rFonts w:ascii="Calibri" w:hAnsi="Calibri" w:eastAsia="宋体" w:cs="Times New Roman"/>
      <w:kern w:val="2"/>
      <w:sz w:val="22"/>
      <w:szCs w:val="22"/>
      <w:lang w:val="en-US" w:eastAsia="zh-CN" w:bidi="ar-SA"/>
    </w:rPr>
  </w:style>
  <w:style w:type="character" w:customStyle="1" w:styleId="22">
    <w:name w:val="批注主题 字符"/>
    <w:link w:val="9"/>
    <w:semiHidden/>
    <w:locked/>
    <w:uiPriority w:val="99"/>
    <w:rPr>
      <w:rFonts w:ascii="Calibri" w:hAnsi="Calibri" w:eastAsia="宋体" w:cs="Times New Roman"/>
      <w:b/>
      <w:bCs/>
      <w:kern w:val="2"/>
      <w:sz w:val="22"/>
      <w:szCs w:val="22"/>
      <w:lang w:val="en-US" w:eastAsia="zh-CN" w:bidi="ar-SA"/>
    </w:rPr>
  </w:style>
  <w:style w:type="character" w:customStyle="1" w:styleId="23">
    <w:name w:val="批注框文本 字符"/>
    <w:link w:val="6"/>
    <w:semiHidden/>
    <w:locked/>
    <w:uiPriority w:val="99"/>
    <w:rPr>
      <w:rFonts w:ascii="Calibri" w:hAnsi="Calibri" w:eastAsia="宋体" w:cs="Times New Roman"/>
      <w:kern w:val="2"/>
      <w:sz w:val="18"/>
      <w:szCs w:val="18"/>
      <w:lang w:val="en-US" w:eastAsia="zh-CN" w:bidi="ar-SA"/>
    </w:rPr>
  </w:style>
  <w:style w:type="character" w:customStyle="1" w:styleId="24">
    <w:name w:val="日期 字符"/>
    <w:link w:val="5"/>
    <w:semiHidden/>
    <w:locked/>
    <w:uiPriority w:val="99"/>
    <w:rPr>
      <w:rFonts w:ascii="Calibri" w:hAnsi="Calibri" w:eastAsia="宋体" w:cs="Times New Roman"/>
      <w:kern w:val="2"/>
      <w:sz w:val="22"/>
      <w:szCs w:val="22"/>
      <w:lang w:val="en-US" w:eastAsia="zh-CN" w:bidi="ar-SA"/>
    </w:rPr>
  </w:style>
  <w:style w:type="character" w:customStyle="1" w:styleId="25">
    <w:name w:val="正文文本缩进 字符"/>
    <w:link w:val="3"/>
    <w:locked/>
    <w:uiPriority w:val="99"/>
    <w:rPr>
      <w:rFonts w:eastAsia="宋体" w:cs="Times New Roman"/>
      <w:kern w:val="2"/>
      <w:sz w:val="24"/>
      <w:szCs w:val="24"/>
      <w:lang w:val="en-US" w:eastAsia="zh-CN" w:bidi="ar-SA"/>
    </w:rPr>
  </w:style>
  <w:style w:type="character" w:customStyle="1" w:styleId="26">
    <w:name w:val="纯文本 字符"/>
    <w:link w:val="4"/>
    <w:locked/>
    <w:uiPriority w:val="99"/>
    <w:rPr>
      <w:rFonts w:ascii="宋体" w:hAnsi="宋体" w:eastAsia="宋体" w:cs="宋体"/>
      <w:sz w:val="18"/>
      <w:szCs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1781</Words>
  <Characters>10155</Characters>
  <Lines>84</Lines>
  <Paragraphs>23</Paragraphs>
  <TotalTime>0</TotalTime>
  <ScaleCrop>false</ScaleCrop>
  <LinksUpToDate>false</LinksUpToDate>
  <CharactersWithSpaces>11913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2019-10-21T13:15:00Z</dcterms:created>
  <dc:creator>潘慧珍</dc:creator>
  <cp:lastModifiedBy>WPS_1665554955</cp:lastModifiedBy>
  <cp:lastPrinted>2020-03-16T01:36:00Z</cp:lastPrinted>
  <dcterms:modified xsi:type="dcterms:W3CDTF">2023-05-11T07:30:19Z</dcterms:modified>
  <dc:title>小额资金代收代付协议</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BD13A9992B044689BAD048F290B7DE7A_12</vt:lpwstr>
  </property>
</Properties>
</file>