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top w:val="none" w:color="000000" w:sz="0" w:space="0"/>
          <w:left w:val="none" w:color="000000" w:sz="0" w:space="0"/>
          <w:bottom w:val="none" w:color="000000" w:sz="0" w:space="0"/>
          <w:right w:val="none" w:color="000000" w:sz="0" w:space="0"/>
        </w:pBdr>
        <w:adjustRightInd w:val="0"/>
        <w:snapToGrid w:val="0"/>
        <w:jc w:val="center"/>
        <w:rPr>
          <w:rFonts w:ascii="仿宋" w:hAnsi="仿宋" w:eastAsia="仿宋" w:cs="仿宋"/>
          <w:b/>
          <w:bCs/>
          <w:sz w:val="44"/>
          <w:szCs w:val="44"/>
        </w:rPr>
      </w:pPr>
      <w:r>
        <w:rPr>
          <w:rFonts w:hint="eastAsia" w:ascii="仿宋" w:hAnsi="仿宋" w:eastAsia="仿宋" w:cs="仿宋"/>
          <w:b/>
          <w:bCs/>
          <w:sz w:val="44"/>
          <w:szCs w:val="44"/>
        </w:rPr>
        <w:t>互联网支付服务协议</w:t>
      </w:r>
    </w:p>
    <w:tbl>
      <w:tblPr>
        <w:tblStyle w:val="8"/>
        <w:tblW w:w="10670" w:type="dxa"/>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10"/>
        <w:gridCol w:w="1607"/>
        <w:gridCol w:w="115"/>
        <w:gridCol w:w="768"/>
        <w:gridCol w:w="369"/>
        <w:gridCol w:w="1629"/>
        <w:gridCol w:w="492"/>
        <w:gridCol w:w="160"/>
        <w:gridCol w:w="180"/>
        <w:gridCol w:w="1052"/>
        <w:gridCol w:w="993"/>
        <w:gridCol w:w="105"/>
        <w:gridCol w:w="166"/>
        <w:gridCol w:w="585"/>
        <w:gridCol w:w="1739"/>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jc w:val="center"/>
        </w:trPr>
        <w:tc>
          <w:tcPr>
            <w:tcW w:w="10670" w:type="dxa"/>
            <w:gridSpan w:val="15"/>
            <w:tcBorders>
              <w:left w:val="single" w:color="auto" w:sz="8" w:space="0"/>
              <w:bottom w:val="single" w:color="auto" w:sz="8" w:space="0"/>
              <w:right w:val="single" w:color="auto" w:sz="8" w:space="0"/>
            </w:tcBorders>
            <w:vAlign w:val="center"/>
          </w:tcPr>
          <w:p>
            <w:pPr>
              <w:adjustRightInd w:val="0"/>
              <w:snapToGrid w:val="0"/>
              <w:spacing w:line="240" w:lineRule="auto"/>
              <w:jc w:val="center"/>
              <w:rPr>
                <w:rFonts w:ascii="仿宋" w:hAnsi="仿宋" w:eastAsia="仿宋" w:cs="仿宋"/>
                <w:b/>
                <w:sz w:val="24"/>
                <w:szCs w:val="18"/>
              </w:rPr>
            </w:pPr>
            <w:r>
              <w:rPr>
                <w:rFonts w:hint="eastAsia" w:ascii="仿宋" w:hAnsi="仿宋" w:eastAsia="仿宋" w:cs="仿宋"/>
                <w:b/>
                <w:sz w:val="28"/>
                <w:szCs w:val="28"/>
              </w:rPr>
              <w:t>特约商户业务申请表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jc w:val="center"/>
        </w:trPr>
        <w:tc>
          <w:tcPr>
            <w:tcW w:w="10670" w:type="dxa"/>
            <w:gridSpan w:val="15"/>
            <w:tcBorders>
              <w:top w:val="single" w:color="auto" w:sz="8" w:space="0"/>
              <w:left w:val="single" w:color="auto" w:sz="8" w:space="0"/>
              <w:bottom w:val="single" w:color="auto" w:sz="8" w:space="0"/>
              <w:right w:val="single" w:color="auto" w:sz="8" w:space="0"/>
            </w:tcBorders>
            <w:shd w:val="clear" w:color="auto" w:fill="EEECE1"/>
            <w:vAlign w:val="center"/>
          </w:tcPr>
          <w:p>
            <w:pPr>
              <w:pStyle w:val="14"/>
              <w:snapToGrid w:val="0"/>
              <w:spacing w:line="240" w:lineRule="auto"/>
              <w:rPr>
                <w:rFonts w:ascii="仿宋" w:hAnsi="仿宋" w:eastAsia="仿宋" w:cs="仿宋"/>
                <w:b/>
                <w:color w:val="auto"/>
                <w:kern w:val="2"/>
                <w:sz w:val="21"/>
                <w:szCs w:val="15"/>
              </w:rPr>
            </w:pPr>
            <w:r>
              <w:rPr>
                <w:rFonts w:hint="eastAsia" w:ascii="仿宋" w:hAnsi="仿宋" w:eastAsia="仿宋" w:cs="仿宋"/>
                <w:b/>
                <w:color w:val="auto"/>
                <w:kern w:val="2"/>
                <w:sz w:val="21"/>
                <w:szCs w:val="15"/>
              </w:rPr>
              <w:t>甲方（特约商户）：</w:t>
            </w:r>
            <w:permStart w:id="0" w:edGrp="everyone"/>
            <w:r>
              <w:rPr>
                <w:rFonts w:hint="eastAsia" w:ascii="仿宋" w:hAnsi="仿宋" w:eastAsia="仿宋" w:cs="仿宋"/>
                <w:b/>
                <w:color w:val="auto"/>
                <w:kern w:val="2"/>
                <w:sz w:val="21"/>
                <w:szCs w:val="15"/>
              </w:rPr>
              <w:t>＿＿＿＿＿＿＿＿＿＿＿＿＿＿＿＿＿＿＿＿＿</w:t>
            </w:r>
            <w:permEnd w:id="0"/>
            <w:r>
              <w:rPr>
                <w:rFonts w:hint="eastAsia" w:ascii="仿宋" w:hAnsi="仿宋" w:eastAsia="仿宋" w:cs="仿宋"/>
                <w:b/>
                <w:color w:val="auto"/>
                <w:kern w:val="2"/>
                <w:sz w:val="21"/>
                <w:szCs w:val="15"/>
              </w:rPr>
              <w:t>（注册名称）</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710" w:type="dxa"/>
            <w:vMerge w:val="restart"/>
            <w:tcBorders>
              <w:top w:val="single" w:color="auto" w:sz="8" w:space="0"/>
              <w:left w:val="single" w:color="auto" w:sz="8" w:space="0"/>
              <w:bottom w:val="single" w:color="auto" w:sz="8"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商户基本信息</w:t>
            </w:r>
          </w:p>
        </w:tc>
        <w:tc>
          <w:tcPr>
            <w:tcW w:w="9960" w:type="dxa"/>
            <w:gridSpan w:val="14"/>
            <w:tcBorders>
              <w:top w:val="single" w:color="auto" w:sz="8" w:space="0"/>
              <w:left w:val="single" w:color="auto" w:sz="4" w:space="0"/>
              <w:bottom w:val="single" w:color="auto" w:sz="4" w:space="0"/>
              <w:right w:val="single" w:color="auto" w:sz="8" w:space="0"/>
            </w:tcBorders>
            <w:vAlign w:val="bottom"/>
          </w:tcPr>
          <w:p>
            <w:pPr>
              <w:tabs>
                <w:tab w:val="left" w:pos="6304"/>
              </w:tabs>
              <w:adjustRightInd w:val="0"/>
              <w:snapToGrid w:val="0"/>
              <w:spacing w:line="240" w:lineRule="auto"/>
              <w:rPr>
                <w:rFonts w:ascii="仿宋" w:hAnsi="仿宋" w:eastAsia="仿宋" w:cs="仿宋"/>
                <w:szCs w:val="15"/>
              </w:rPr>
            </w:pPr>
            <w:r>
              <w:rPr>
                <w:rFonts w:hint="eastAsia" w:ascii="仿宋" w:hAnsi="仿宋" w:eastAsia="仿宋" w:cs="仿宋"/>
                <w:szCs w:val="15"/>
              </w:rPr>
              <w:t>注册地址：</w:t>
            </w:r>
            <w:permStart w:id="1" w:edGrp="everyone"/>
            <w:r>
              <w:rPr>
                <w:rFonts w:hint="eastAsia" w:ascii="仿宋" w:hAnsi="仿宋" w:eastAsia="仿宋" w:cs="仿宋"/>
                <w:szCs w:val="15"/>
                <w:u w:val="single"/>
                <w:lang w:val="en-US" w:eastAsia="zh-CN"/>
              </w:rPr>
              <w:t xml:space="preserve">                                  </w:t>
            </w:r>
            <w:permEnd w:id="1"/>
            <w:r>
              <w:rPr>
                <w:rFonts w:hint="eastAsia" w:ascii="仿宋" w:hAnsi="仿宋" w:eastAsia="仿宋" w:cs="仿宋"/>
                <w:szCs w:val="15"/>
              </w:rPr>
              <w:tab/>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710" w:type="dxa"/>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8221" w:type="dxa"/>
            <w:gridSpan w:val="13"/>
            <w:tcBorders>
              <w:top w:val="single" w:color="auto" w:sz="4" w:space="0"/>
              <w:left w:val="single" w:color="auto" w:sz="4" w:space="0"/>
              <w:bottom w:val="single" w:color="auto" w:sz="4" w:space="0"/>
              <w:right w:val="single" w:color="auto" w:sz="4" w:space="0"/>
            </w:tcBorders>
            <w:vAlign w:val="bottom"/>
          </w:tcPr>
          <w:p>
            <w:pPr>
              <w:adjustRightInd w:val="0"/>
              <w:snapToGrid w:val="0"/>
              <w:spacing w:line="240" w:lineRule="auto"/>
              <w:rPr>
                <w:rFonts w:ascii="仿宋" w:hAnsi="仿宋" w:eastAsia="仿宋" w:cs="仿宋"/>
                <w:szCs w:val="15"/>
              </w:rPr>
            </w:pPr>
            <w:r>
              <w:rPr>
                <w:rFonts w:hint="eastAsia" w:ascii="仿宋" w:hAnsi="仿宋" w:eastAsia="仿宋" w:cs="仿宋"/>
                <w:szCs w:val="15"/>
              </w:rPr>
              <w:t>营业地址：</w:t>
            </w:r>
            <w:permStart w:id="2" w:edGrp="everyone"/>
            <w:r>
              <w:rPr>
                <w:rFonts w:hint="eastAsia" w:ascii="仿宋" w:hAnsi="仿宋" w:eastAsia="仿宋" w:cs="仿宋"/>
                <w:szCs w:val="15"/>
                <w:u w:val="single"/>
                <w:lang w:val="en-US" w:eastAsia="zh-CN"/>
              </w:rPr>
              <w:t xml:space="preserve">                                  </w:t>
            </w:r>
            <w:permEnd w:id="2"/>
          </w:p>
        </w:tc>
        <w:tc>
          <w:tcPr>
            <w:tcW w:w="1739" w:type="dxa"/>
            <w:tcBorders>
              <w:top w:val="single" w:color="auto" w:sz="4" w:space="0"/>
              <w:left w:val="single" w:color="auto" w:sz="4" w:space="0"/>
              <w:bottom w:val="single" w:color="auto" w:sz="4" w:space="0"/>
              <w:right w:val="single" w:color="auto" w:sz="8" w:space="0"/>
            </w:tcBorders>
            <w:vAlign w:val="bottom"/>
          </w:tcPr>
          <w:p>
            <w:pPr>
              <w:adjustRightInd w:val="0"/>
              <w:snapToGrid w:val="0"/>
              <w:spacing w:line="240" w:lineRule="auto"/>
              <w:rPr>
                <w:rFonts w:ascii="仿宋" w:hAnsi="仿宋" w:eastAsia="仿宋" w:cs="仿宋"/>
                <w:szCs w:val="15"/>
              </w:rPr>
            </w:pPr>
            <w:permStart w:id="3" w:edGrp="everyone"/>
            <w:r>
              <w:rPr>
                <w:rFonts w:hint="eastAsia" w:ascii="仿宋" w:hAnsi="仿宋" w:eastAsia="仿宋" w:cs="仿宋"/>
                <w:szCs w:val="15"/>
              </w:rPr>
              <w:sym w:font="Wingdings" w:char="00A8"/>
            </w:r>
            <w:permEnd w:id="3"/>
            <w:r>
              <w:rPr>
                <w:rFonts w:hint="eastAsia" w:ascii="仿宋" w:hAnsi="仿宋" w:eastAsia="仿宋" w:cs="仿宋"/>
                <w:szCs w:val="15"/>
              </w:rPr>
              <w:t>同注册地址</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710" w:type="dxa"/>
            <w:vMerge w:val="continue"/>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4488" w:type="dxa"/>
            <w:gridSpan w:val="5"/>
            <w:tcBorders>
              <w:top w:val="single" w:color="auto" w:sz="4" w:space="0"/>
              <w:left w:val="single" w:color="auto" w:sz="4" w:space="0"/>
              <w:bottom w:val="single" w:color="auto" w:sz="4" w:space="0"/>
              <w:right w:val="single" w:color="auto" w:sz="4" w:space="0"/>
            </w:tcBorders>
            <w:vAlign w:val="bottom"/>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营业名称：</w:t>
            </w:r>
            <w:permStart w:id="4" w:edGrp="everyone"/>
            <w:r>
              <w:rPr>
                <w:rFonts w:hint="eastAsia" w:ascii="仿宋" w:hAnsi="仿宋" w:eastAsia="仿宋" w:cs="仿宋"/>
                <w:szCs w:val="15"/>
                <w:u w:val="single"/>
                <w:lang w:val="en-US" w:eastAsia="zh-CN"/>
              </w:rPr>
              <w:t xml:space="preserve">                         </w:t>
            </w:r>
            <w:permEnd w:id="4"/>
            <w:r>
              <w:rPr>
                <w:rFonts w:hint="eastAsia" w:ascii="仿宋" w:hAnsi="仿宋" w:eastAsia="仿宋" w:cs="仿宋"/>
                <w:szCs w:val="15"/>
                <w:u w:val="single"/>
                <w:lang w:val="en-US" w:eastAsia="zh-CN"/>
              </w:rPr>
              <w:t xml:space="preserve"> </w:t>
            </w:r>
          </w:p>
        </w:tc>
        <w:tc>
          <w:tcPr>
            <w:tcW w:w="3148" w:type="dxa"/>
            <w:gridSpan w:val="7"/>
            <w:tcBorders>
              <w:top w:val="single" w:color="auto" w:sz="4" w:space="0"/>
              <w:left w:val="single" w:color="auto" w:sz="4" w:space="0"/>
              <w:bottom w:val="single" w:color="auto" w:sz="4" w:space="0"/>
              <w:right w:val="single" w:color="auto" w:sz="4" w:space="0"/>
            </w:tcBorders>
            <w:vAlign w:val="bottom"/>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营业执照号：</w:t>
            </w:r>
            <w:permStart w:id="5" w:edGrp="everyone"/>
            <w:r>
              <w:rPr>
                <w:rFonts w:hint="eastAsia" w:ascii="仿宋" w:hAnsi="仿宋" w:eastAsia="仿宋" w:cs="仿宋"/>
                <w:szCs w:val="15"/>
                <w:u w:val="single"/>
                <w:lang w:val="en-US" w:eastAsia="zh-CN"/>
              </w:rPr>
              <w:t xml:space="preserve">              </w:t>
            </w:r>
            <w:permEnd w:id="5"/>
            <w:r>
              <w:rPr>
                <w:rFonts w:hint="eastAsia" w:ascii="仿宋" w:hAnsi="仿宋" w:eastAsia="仿宋" w:cs="仿宋"/>
                <w:szCs w:val="15"/>
                <w:u w:val="single"/>
                <w:lang w:val="en-US" w:eastAsia="zh-CN"/>
              </w:rPr>
              <w:t xml:space="preserve"> </w:t>
            </w:r>
          </w:p>
        </w:tc>
        <w:tc>
          <w:tcPr>
            <w:tcW w:w="2324" w:type="dxa"/>
            <w:gridSpan w:val="2"/>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执照到期日：</w:t>
            </w:r>
            <w:permStart w:id="6" w:edGrp="everyone"/>
            <w:r>
              <w:rPr>
                <w:rFonts w:hint="eastAsia" w:ascii="仿宋" w:hAnsi="仿宋" w:eastAsia="仿宋" w:cs="仿宋"/>
                <w:szCs w:val="15"/>
                <w:u w:val="single"/>
                <w:lang w:val="en-US" w:eastAsia="zh-CN"/>
              </w:rPr>
              <w:t xml:space="preserve">       </w:t>
            </w:r>
            <w:permEnd w:id="6"/>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8" w:hRule="atLeast"/>
          <w:jc w:val="center"/>
        </w:trPr>
        <w:tc>
          <w:tcPr>
            <w:tcW w:w="710" w:type="dxa"/>
            <w:vMerge w:val="continue"/>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5320"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英文名称：</w:t>
            </w:r>
            <w:permStart w:id="7" w:edGrp="everyone"/>
            <w:r>
              <w:rPr>
                <w:rFonts w:hint="eastAsia" w:ascii="仿宋" w:hAnsi="仿宋" w:eastAsia="仿宋" w:cs="仿宋"/>
                <w:szCs w:val="15"/>
                <w:u w:val="single"/>
                <w:lang w:val="en-US" w:eastAsia="zh-CN"/>
              </w:rPr>
              <w:t xml:space="preserve">                         </w:t>
            </w:r>
            <w:permEnd w:id="7"/>
            <w:r>
              <w:rPr>
                <w:rFonts w:hint="eastAsia" w:ascii="仿宋" w:hAnsi="仿宋" w:eastAsia="仿宋" w:cs="仿宋"/>
                <w:szCs w:val="15"/>
                <w:u w:val="single"/>
                <w:lang w:val="en-US" w:eastAsia="zh-CN"/>
              </w:rPr>
              <w:t xml:space="preserve"> </w:t>
            </w:r>
          </w:p>
        </w:tc>
        <w:tc>
          <w:tcPr>
            <w:tcW w:w="4640" w:type="dxa"/>
            <w:gridSpan w:val="6"/>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英文简称：</w:t>
            </w:r>
            <w:permStart w:id="8" w:edGrp="everyone"/>
            <w:r>
              <w:rPr>
                <w:rFonts w:hint="eastAsia" w:ascii="仿宋" w:hAnsi="仿宋" w:eastAsia="仿宋" w:cs="仿宋"/>
                <w:szCs w:val="15"/>
                <w:u w:val="single"/>
                <w:lang w:val="en-US" w:eastAsia="zh-CN"/>
              </w:rPr>
              <w:t xml:space="preserve">                   </w:t>
            </w:r>
            <w:permEnd w:id="8"/>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18" w:hRule="atLeast"/>
          <w:jc w:val="center"/>
        </w:trPr>
        <w:tc>
          <w:tcPr>
            <w:tcW w:w="710" w:type="dxa"/>
            <w:vMerge w:val="continue"/>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249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法定代表人：</w:t>
            </w:r>
            <w:permStart w:id="9" w:edGrp="everyone"/>
            <w:r>
              <w:rPr>
                <w:rFonts w:hint="eastAsia" w:ascii="仿宋" w:hAnsi="仿宋" w:eastAsia="仿宋" w:cs="仿宋"/>
                <w:szCs w:val="15"/>
                <w:u w:val="single"/>
                <w:lang w:val="en-US" w:eastAsia="zh-CN"/>
              </w:rPr>
              <w:t xml:space="preserve">         </w:t>
            </w:r>
            <w:permEnd w:id="9"/>
          </w:p>
        </w:tc>
        <w:tc>
          <w:tcPr>
            <w:tcW w:w="249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证件类型：</w:t>
            </w:r>
            <w:permStart w:id="10" w:edGrp="everyone"/>
            <w:r>
              <w:rPr>
                <w:rFonts w:hint="eastAsia" w:ascii="仿宋" w:hAnsi="仿宋" w:eastAsia="仿宋" w:cs="仿宋"/>
                <w:szCs w:val="15"/>
                <w:u w:val="single"/>
                <w:lang w:val="en-US" w:eastAsia="zh-CN"/>
              </w:rPr>
              <w:t xml:space="preserve">         </w:t>
            </w:r>
            <w:permEnd w:id="10"/>
            <w:r>
              <w:rPr>
                <w:rFonts w:hint="eastAsia" w:ascii="仿宋" w:hAnsi="仿宋" w:eastAsia="仿宋" w:cs="仿宋"/>
                <w:szCs w:val="15"/>
                <w:u w:val="single"/>
                <w:lang w:val="en-US" w:eastAsia="zh-CN"/>
              </w:rPr>
              <w:t xml:space="preserve"> </w:t>
            </w:r>
          </w:p>
        </w:tc>
        <w:tc>
          <w:tcPr>
            <w:tcW w:w="2490"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证件号码：</w:t>
            </w:r>
            <w:permStart w:id="11" w:edGrp="everyone"/>
            <w:r>
              <w:rPr>
                <w:rFonts w:hint="eastAsia" w:ascii="仿宋" w:hAnsi="仿宋" w:eastAsia="仿宋" w:cs="仿宋"/>
                <w:szCs w:val="15"/>
                <w:u w:val="single"/>
                <w:lang w:val="en-US" w:eastAsia="zh-CN"/>
              </w:rPr>
              <w:t xml:space="preserve">         </w:t>
            </w:r>
            <w:permEnd w:id="11"/>
            <w:r>
              <w:rPr>
                <w:rFonts w:hint="eastAsia" w:ascii="仿宋" w:hAnsi="仿宋" w:eastAsia="仿宋" w:cs="仿宋"/>
                <w:szCs w:val="15"/>
                <w:u w:val="single"/>
                <w:lang w:val="en-US" w:eastAsia="zh-CN"/>
              </w:rPr>
              <w:t xml:space="preserve"> </w:t>
            </w:r>
          </w:p>
        </w:tc>
        <w:tc>
          <w:tcPr>
            <w:tcW w:w="2490" w:type="dxa"/>
            <w:gridSpan w:val="3"/>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证件到期日：</w:t>
            </w:r>
            <w:permStart w:id="12" w:edGrp="everyone"/>
            <w:r>
              <w:rPr>
                <w:rFonts w:hint="eastAsia" w:ascii="仿宋" w:hAnsi="仿宋" w:eastAsia="仿宋" w:cs="仿宋"/>
                <w:szCs w:val="15"/>
                <w:u w:val="single"/>
                <w:lang w:val="en-US" w:eastAsia="zh-CN"/>
              </w:rPr>
              <w:t xml:space="preserve">       </w:t>
            </w:r>
            <w:permEnd w:id="12"/>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18" w:hRule="atLeast"/>
          <w:jc w:val="center"/>
        </w:trPr>
        <w:tc>
          <w:tcPr>
            <w:tcW w:w="710" w:type="dxa"/>
            <w:vMerge w:val="continue"/>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249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实际控制人：</w:t>
            </w:r>
            <w:permStart w:id="13" w:edGrp="everyone"/>
            <w:r>
              <w:rPr>
                <w:rFonts w:hint="eastAsia" w:ascii="仿宋" w:hAnsi="仿宋" w:eastAsia="仿宋" w:cs="仿宋"/>
                <w:szCs w:val="15"/>
                <w:u w:val="single"/>
                <w:lang w:val="en-US" w:eastAsia="zh-CN"/>
              </w:rPr>
              <w:t xml:space="preserve">        </w:t>
            </w:r>
            <w:permEnd w:id="13"/>
            <w:r>
              <w:rPr>
                <w:rFonts w:hint="eastAsia" w:ascii="仿宋" w:hAnsi="仿宋" w:eastAsia="仿宋" w:cs="仿宋"/>
                <w:szCs w:val="15"/>
                <w:u w:val="single"/>
                <w:lang w:val="en-US" w:eastAsia="zh-CN"/>
              </w:rPr>
              <w:t xml:space="preserve"> </w:t>
            </w:r>
          </w:p>
        </w:tc>
        <w:tc>
          <w:tcPr>
            <w:tcW w:w="249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证件类型：</w:t>
            </w:r>
            <w:permStart w:id="14" w:edGrp="everyone"/>
            <w:r>
              <w:rPr>
                <w:rFonts w:hint="eastAsia" w:ascii="仿宋" w:hAnsi="仿宋" w:eastAsia="仿宋" w:cs="仿宋"/>
                <w:szCs w:val="15"/>
                <w:u w:val="single"/>
                <w:lang w:val="en-US" w:eastAsia="zh-CN"/>
              </w:rPr>
              <w:t xml:space="preserve">         </w:t>
            </w:r>
            <w:permEnd w:id="14"/>
            <w:r>
              <w:rPr>
                <w:rFonts w:hint="eastAsia" w:ascii="仿宋" w:hAnsi="仿宋" w:eastAsia="仿宋" w:cs="仿宋"/>
                <w:szCs w:val="15"/>
                <w:u w:val="single"/>
                <w:lang w:val="en-US" w:eastAsia="zh-CN"/>
              </w:rPr>
              <w:t xml:space="preserve"> </w:t>
            </w:r>
          </w:p>
        </w:tc>
        <w:tc>
          <w:tcPr>
            <w:tcW w:w="2490"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证件号码：</w:t>
            </w:r>
            <w:permStart w:id="15" w:edGrp="everyone"/>
            <w:r>
              <w:rPr>
                <w:rFonts w:hint="eastAsia" w:ascii="仿宋" w:hAnsi="仿宋" w:eastAsia="仿宋" w:cs="仿宋"/>
                <w:szCs w:val="15"/>
                <w:u w:val="single"/>
                <w:lang w:val="en-US" w:eastAsia="zh-CN"/>
              </w:rPr>
              <w:t xml:space="preserve">         </w:t>
            </w:r>
            <w:permEnd w:id="15"/>
            <w:r>
              <w:rPr>
                <w:rFonts w:hint="eastAsia" w:ascii="仿宋" w:hAnsi="仿宋" w:eastAsia="仿宋" w:cs="仿宋"/>
                <w:szCs w:val="15"/>
                <w:u w:val="single"/>
                <w:lang w:val="en-US" w:eastAsia="zh-CN"/>
              </w:rPr>
              <w:t xml:space="preserve"> </w:t>
            </w:r>
          </w:p>
        </w:tc>
        <w:tc>
          <w:tcPr>
            <w:tcW w:w="2490" w:type="dxa"/>
            <w:gridSpan w:val="3"/>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证件到期日：</w:t>
            </w:r>
            <w:permStart w:id="16" w:edGrp="everyone"/>
            <w:r>
              <w:rPr>
                <w:rFonts w:hint="eastAsia" w:ascii="仿宋" w:hAnsi="仿宋" w:eastAsia="仿宋" w:cs="仿宋"/>
                <w:szCs w:val="15"/>
                <w:u w:val="single"/>
                <w:lang w:val="en-US" w:eastAsia="zh-CN"/>
              </w:rPr>
              <w:t xml:space="preserve">       </w:t>
            </w:r>
            <w:permEnd w:id="16"/>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66" w:hRule="atLeast"/>
          <w:jc w:val="center"/>
        </w:trPr>
        <w:tc>
          <w:tcPr>
            <w:tcW w:w="710" w:type="dxa"/>
            <w:vMerge w:val="continue"/>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249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受益所有人：</w:t>
            </w:r>
            <w:permStart w:id="17" w:edGrp="everyone"/>
            <w:r>
              <w:rPr>
                <w:rFonts w:hint="eastAsia" w:ascii="仿宋" w:hAnsi="仿宋" w:eastAsia="仿宋" w:cs="仿宋"/>
                <w:szCs w:val="15"/>
                <w:u w:val="single"/>
                <w:lang w:val="en-US" w:eastAsia="zh-CN"/>
              </w:rPr>
              <w:t xml:space="preserve">         </w:t>
            </w:r>
            <w:permEnd w:id="17"/>
          </w:p>
        </w:tc>
        <w:tc>
          <w:tcPr>
            <w:tcW w:w="249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证件类型：</w:t>
            </w:r>
            <w:permStart w:id="18" w:edGrp="everyone"/>
            <w:r>
              <w:rPr>
                <w:rFonts w:hint="eastAsia" w:ascii="仿宋" w:hAnsi="仿宋" w:eastAsia="仿宋" w:cs="仿宋"/>
                <w:szCs w:val="15"/>
                <w:u w:val="single"/>
                <w:lang w:val="en-US" w:eastAsia="zh-CN"/>
              </w:rPr>
              <w:t xml:space="preserve">         </w:t>
            </w:r>
            <w:permEnd w:id="18"/>
            <w:r>
              <w:rPr>
                <w:rFonts w:hint="eastAsia" w:ascii="仿宋" w:hAnsi="仿宋" w:eastAsia="仿宋" w:cs="仿宋"/>
                <w:szCs w:val="15"/>
                <w:u w:val="single"/>
                <w:lang w:val="en-US" w:eastAsia="zh-CN"/>
              </w:rPr>
              <w:t xml:space="preserve"> </w:t>
            </w:r>
          </w:p>
        </w:tc>
        <w:tc>
          <w:tcPr>
            <w:tcW w:w="2490"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证件号码：</w:t>
            </w:r>
            <w:permStart w:id="19" w:edGrp="everyone"/>
            <w:r>
              <w:rPr>
                <w:rFonts w:hint="eastAsia" w:ascii="仿宋" w:hAnsi="仿宋" w:eastAsia="仿宋" w:cs="仿宋"/>
                <w:szCs w:val="15"/>
                <w:u w:val="single"/>
                <w:lang w:val="en-US" w:eastAsia="zh-CN"/>
              </w:rPr>
              <w:t xml:space="preserve">         </w:t>
            </w:r>
            <w:permEnd w:id="19"/>
            <w:r>
              <w:rPr>
                <w:rFonts w:hint="eastAsia" w:ascii="仿宋" w:hAnsi="仿宋" w:eastAsia="仿宋" w:cs="仿宋"/>
                <w:szCs w:val="15"/>
                <w:u w:val="single"/>
                <w:lang w:val="en-US" w:eastAsia="zh-CN"/>
              </w:rPr>
              <w:t xml:space="preserve"> </w:t>
            </w:r>
          </w:p>
        </w:tc>
        <w:tc>
          <w:tcPr>
            <w:tcW w:w="2490" w:type="dxa"/>
            <w:gridSpan w:val="3"/>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证件到期日：</w:t>
            </w:r>
            <w:permStart w:id="20" w:edGrp="everyone"/>
            <w:r>
              <w:rPr>
                <w:rFonts w:hint="eastAsia" w:ascii="仿宋" w:hAnsi="仿宋" w:eastAsia="仿宋" w:cs="仿宋"/>
                <w:szCs w:val="15"/>
                <w:u w:val="single"/>
                <w:lang w:val="en-US" w:eastAsia="zh-CN"/>
              </w:rPr>
              <w:t xml:space="preserve">       </w:t>
            </w:r>
            <w:permEnd w:id="20"/>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66" w:hRule="atLeast"/>
          <w:jc w:val="center"/>
        </w:trPr>
        <w:tc>
          <w:tcPr>
            <w:tcW w:w="710" w:type="dxa"/>
            <w:vMerge w:val="continue"/>
            <w:tcBorders>
              <w:top w:val="single" w:color="auto" w:sz="4" w:space="0"/>
              <w:left w:val="single" w:color="auto" w:sz="8" w:space="0"/>
              <w:bottom w:val="single" w:color="auto" w:sz="6"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2859" w:type="dxa"/>
            <w:gridSpan w:val="4"/>
            <w:tcBorders>
              <w:top w:val="single" w:color="auto" w:sz="4" w:space="0"/>
              <w:left w:val="single" w:color="auto" w:sz="4" w:space="0"/>
              <w:bottom w:val="single" w:color="auto" w:sz="6"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联系人：</w:t>
            </w:r>
            <w:permStart w:id="21" w:edGrp="everyone"/>
            <w:r>
              <w:rPr>
                <w:rFonts w:hint="eastAsia" w:ascii="仿宋" w:hAnsi="仿宋" w:eastAsia="仿宋" w:cs="仿宋"/>
                <w:szCs w:val="15"/>
                <w:u w:val="single"/>
                <w:lang w:val="en-US" w:eastAsia="zh-CN"/>
              </w:rPr>
              <w:t xml:space="preserve">            </w:t>
            </w:r>
            <w:permEnd w:id="21"/>
            <w:r>
              <w:rPr>
                <w:rFonts w:hint="eastAsia" w:ascii="仿宋" w:hAnsi="仿宋" w:eastAsia="仿宋" w:cs="仿宋"/>
                <w:szCs w:val="15"/>
                <w:u w:val="single"/>
                <w:lang w:val="en-US" w:eastAsia="zh-CN"/>
              </w:rPr>
              <w:t xml:space="preserve">  </w:t>
            </w:r>
          </w:p>
        </w:tc>
        <w:tc>
          <w:tcPr>
            <w:tcW w:w="3513" w:type="dxa"/>
            <w:gridSpan w:val="5"/>
            <w:tcBorders>
              <w:top w:val="single" w:color="auto" w:sz="4" w:space="0"/>
              <w:left w:val="single" w:color="auto" w:sz="4" w:space="0"/>
              <w:bottom w:val="single" w:color="auto" w:sz="6"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联系电话：</w:t>
            </w:r>
            <w:permStart w:id="22" w:edGrp="everyone"/>
            <w:r>
              <w:rPr>
                <w:rFonts w:hint="eastAsia" w:ascii="仿宋" w:hAnsi="仿宋" w:eastAsia="仿宋" w:cs="仿宋"/>
                <w:szCs w:val="15"/>
                <w:u w:val="single"/>
                <w:lang w:val="en-US" w:eastAsia="zh-CN"/>
              </w:rPr>
              <w:t xml:space="preserve">             </w:t>
            </w:r>
            <w:permEnd w:id="22"/>
            <w:r>
              <w:rPr>
                <w:rFonts w:hint="eastAsia" w:ascii="仿宋" w:hAnsi="仿宋" w:eastAsia="仿宋" w:cs="仿宋"/>
                <w:szCs w:val="15"/>
                <w:u w:val="single"/>
                <w:lang w:val="en-US" w:eastAsia="zh-CN"/>
              </w:rPr>
              <w:t xml:space="preserve">  </w:t>
            </w:r>
          </w:p>
        </w:tc>
        <w:tc>
          <w:tcPr>
            <w:tcW w:w="3588" w:type="dxa"/>
            <w:gridSpan w:val="5"/>
            <w:tcBorders>
              <w:top w:val="single" w:color="auto" w:sz="4" w:space="0"/>
              <w:left w:val="single" w:color="auto" w:sz="4" w:space="0"/>
              <w:bottom w:val="single" w:color="auto" w:sz="6" w:space="0"/>
              <w:right w:val="single" w:color="auto" w:sz="8"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电子邮箱：</w:t>
            </w:r>
            <w:permStart w:id="23" w:edGrp="everyone"/>
            <w:r>
              <w:rPr>
                <w:rFonts w:hint="eastAsia" w:ascii="仿宋" w:hAnsi="仿宋" w:eastAsia="仿宋" w:cs="仿宋"/>
                <w:szCs w:val="15"/>
                <w:u w:val="single"/>
                <w:lang w:val="en-US" w:eastAsia="zh-CN"/>
              </w:rPr>
              <w:t xml:space="preserve">            </w:t>
            </w:r>
            <w:permEnd w:id="23"/>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64" w:hRule="atLeast"/>
          <w:jc w:val="center"/>
        </w:trPr>
        <w:tc>
          <w:tcPr>
            <w:tcW w:w="710" w:type="dxa"/>
            <w:vMerge w:val="restart"/>
            <w:tcBorders>
              <w:top w:val="single" w:color="auto" w:sz="6" w:space="0"/>
              <w:left w:val="single" w:color="auto" w:sz="6"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经营信息</w:t>
            </w:r>
          </w:p>
        </w:tc>
        <w:tc>
          <w:tcPr>
            <w:tcW w:w="5140" w:type="dxa"/>
            <w:gridSpan w:val="7"/>
            <w:tcBorders>
              <w:top w:val="single" w:color="auto" w:sz="6"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商户名称：</w:t>
            </w:r>
            <w:permStart w:id="24" w:edGrp="everyone"/>
            <w:r>
              <w:rPr>
                <w:rFonts w:hint="eastAsia" w:ascii="仿宋" w:hAnsi="仿宋" w:eastAsia="仿宋" w:cs="仿宋"/>
                <w:szCs w:val="15"/>
                <w:u w:val="single"/>
                <w:lang w:val="en-US" w:eastAsia="zh-CN"/>
              </w:rPr>
              <w:t xml:space="preserve">                     </w:t>
            </w:r>
            <w:permEnd w:id="24"/>
            <w:r>
              <w:rPr>
                <w:rFonts w:hint="eastAsia" w:ascii="仿宋" w:hAnsi="仿宋" w:eastAsia="仿宋" w:cs="仿宋"/>
                <w:szCs w:val="15"/>
                <w:u w:val="single"/>
                <w:lang w:val="en-US" w:eastAsia="zh-CN"/>
              </w:rPr>
              <w:t xml:space="preserve"> </w:t>
            </w:r>
          </w:p>
        </w:tc>
        <w:tc>
          <w:tcPr>
            <w:tcW w:w="4820" w:type="dxa"/>
            <w:gridSpan w:val="7"/>
            <w:tcBorders>
              <w:top w:val="single" w:color="auto" w:sz="6" w:space="0"/>
              <w:left w:val="single" w:color="auto" w:sz="4" w:space="0"/>
              <w:bottom w:val="single" w:color="auto" w:sz="4" w:space="0"/>
              <w:right w:val="single" w:color="auto" w:sz="6"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商户网址：</w:t>
            </w:r>
            <w:permStart w:id="25" w:edGrp="everyone"/>
            <w:r>
              <w:rPr>
                <w:rFonts w:hint="eastAsia" w:ascii="仿宋" w:hAnsi="仿宋" w:eastAsia="仿宋" w:cs="仿宋"/>
                <w:szCs w:val="15"/>
                <w:u w:val="single"/>
                <w:lang w:val="en-US" w:eastAsia="zh-CN"/>
              </w:rPr>
              <w:t xml:space="preserve">                        </w:t>
            </w:r>
            <w:permEnd w:id="25"/>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64" w:hRule="atLeast"/>
          <w:jc w:val="center"/>
        </w:trPr>
        <w:tc>
          <w:tcPr>
            <w:tcW w:w="710" w:type="dxa"/>
            <w:vMerge w:val="continue"/>
            <w:tcBorders>
              <w:top w:val="single" w:color="auto" w:sz="4" w:space="0"/>
              <w:left w:val="single" w:color="auto" w:sz="6"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5140"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ICP备案登记号：</w:t>
            </w:r>
            <w:permStart w:id="26" w:edGrp="everyone"/>
            <w:r>
              <w:rPr>
                <w:rFonts w:hint="eastAsia" w:ascii="仿宋" w:hAnsi="仿宋" w:eastAsia="仿宋" w:cs="仿宋"/>
                <w:szCs w:val="15"/>
                <w:u w:val="single"/>
                <w:lang w:val="en-US" w:eastAsia="zh-CN"/>
              </w:rPr>
              <w:t xml:space="preserve">                         </w:t>
            </w:r>
            <w:permEnd w:id="26"/>
            <w:r>
              <w:rPr>
                <w:rFonts w:hint="eastAsia" w:ascii="仿宋" w:hAnsi="仿宋" w:eastAsia="仿宋" w:cs="仿宋"/>
                <w:szCs w:val="15"/>
                <w:u w:val="single"/>
                <w:lang w:val="en-US" w:eastAsia="zh-CN"/>
              </w:rPr>
              <w:t xml:space="preserve"> </w:t>
            </w:r>
          </w:p>
        </w:tc>
        <w:tc>
          <w:tcPr>
            <w:tcW w:w="4820" w:type="dxa"/>
            <w:gridSpan w:val="7"/>
            <w:tcBorders>
              <w:top w:val="single" w:color="auto" w:sz="4" w:space="0"/>
              <w:left w:val="single" w:color="auto" w:sz="4" w:space="0"/>
              <w:bottom w:val="single" w:color="auto" w:sz="4" w:space="0"/>
              <w:right w:val="single" w:color="auto" w:sz="6"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商户服务范围：</w:t>
            </w:r>
            <w:permStart w:id="27" w:edGrp="everyone"/>
            <w:r>
              <w:rPr>
                <w:rFonts w:hint="eastAsia" w:ascii="仿宋" w:hAnsi="仿宋" w:eastAsia="仿宋" w:cs="仿宋"/>
                <w:szCs w:val="15"/>
                <w:u w:val="single"/>
                <w:lang w:val="en-US" w:eastAsia="zh-CN"/>
              </w:rPr>
              <w:t xml:space="preserve">                     </w:t>
            </w:r>
            <w:permEnd w:id="27"/>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64" w:hRule="atLeast"/>
          <w:jc w:val="center"/>
        </w:trPr>
        <w:tc>
          <w:tcPr>
            <w:tcW w:w="710" w:type="dxa"/>
            <w:vMerge w:val="continue"/>
            <w:tcBorders>
              <w:top w:val="single" w:color="auto" w:sz="4" w:space="0"/>
              <w:left w:val="single" w:color="auto" w:sz="6" w:space="0"/>
              <w:bottom w:val="single" w:color="auto" w:sz="6"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5140" w:type="dxa"/>
            <w:gridSpan w:val="7"/>
            <w:tcBorders>
              <w:top w:val="single" w:color="auto" w:sz="4" w:space="0"/>
              <w:left w:val="single" w:color="auto" w:sz="4" w:space="0"/>
              <w:bottom w:val="single" w:color="auto" w:sz="6"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服务器地址：</w:t>
            </w:r>
            <w:permStart w:id="28" w:edGrp="everyone"/>
            <w:r>
              <w:rPr>
                <w:rFonts w:hint="eastAsia" w:ascii="仿宋" w:hAnsi="仿宋" w:eastAsia="仿宋" w:cs="仿宋"/>
                <w:szCs w:val="15"/>
                <w:u w:val="single"/>
                <w:lang w:val="en-US" w:eastAsia="zh-CN"/>
              </w:rPr>
              <w:t xml:space="preserve">                            </w:t>
            </w:r>
            <w:permEnd w:id="28"/>
            <w:r>
              <w:rPr>
                <w:rFonts w:hint="eastAsia" w:ascii="仿宋" w:hAnsi="仿宋" w:eastAsia="仿宋" w:cs="仿宋"/>
                <w:szCs w:val="15"/>
                <w:u w:val="single"/>
                <w:lang w:val="en-US" w:eastAsia="zh-CN"/>
              </w:rPr>
              <w:t xml:space="preserve">  </w:t>
            </w:r>
          </w:p>
        </w:tc>
        <w:tc>
          <w:tcPr>
            <w:tcW w:w="4820" w:type="dxa"/>
            <w:gridSpan w:val="7"/>
            <w:tcBorders>
              <w:top w:val="single" w:color="auto" w:sz="4" w:space="0"/>
              <w:left w:val="single" w:color="auto" w:sz="4" w:space="0"/>
              <w:bottom w:val="single" w:color="auto" w:sz="6" w:space="0"/>
              <w:right w:val="single" w:color="auto" w:sz="6"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IP地址：</w:t>
            </w:r>
            <w:permStart w:id="29" w:edGrp="everyone"/>
            <w:r>
              <w:rPr>
                <w:rFonts w:hint="eastAsia" w:ascii="仿宋" w:hAnsi="仿宋" w:eastAsia="仿宋" w:cs="仿宋"/>
                <w:szCs w:val="15"/>
                <w:u w:val="single"/>
                <w:lang w:val="en-US" w:eastAsia="zh-CN"/>
              </w:rPr>
              <w:t xml:space="preserve">                          </w:t>
            </w:r>
            <w:permEnd w:id="29"/>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64" w:hRule="atLeast"/>
          <w:jc w:val="center"/>
        </w:trPr>
        <w:tc>
          <w:tcPr>
            <w:tcW w:w="710" w:type="dxa"/>
            <w:vMerge w:val="restart"/>
            <w:tcBorders>
              <w:top w:val="single" w:color="auto" w:sz="6"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资金结算</w:t>
            </w:r>
          </w:p>
        </w:tc>
        <w:tc>
          <w:tcPr>
            <w:tcW w:w="5140" w:type="dxa"/>
            <w:gridSpan w:val="7"/>
            <w:tcBorders>
              <w:top w:val="single" w:color="auto" w:sz="6"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结算账户名称：</w:t>
            </w:r>
            <w:permStart w:id="30" w:edGrp="everyone"/>
            <w:r>
              <w:rPr>
                <w:rFonts w:hint="eastAsia" w:ascii="仿宋" w:hAnsi="仿宋" w:eastAsia="仿宋" w:cs="仿宋"/>
                <w:szCs w:val="15"/>
                <w:u w:val="single"/>
                <w:lang w:val="en-US" w:eastAsia="zh-CN"/>
              </w:rPr>
              <w:t xml:space="preserve">                          </w:t>
            </w:r>
            <w:permEnd w:id="30"/>
            <w:r>
              <w:rPr>
                <w:rFonts w:hint="eastAsia" w:ascii="仿宋" w:hAnsi="仿宋" w:eastAsia="仿宋" w:cs="仿宋"/>
                <w:szCs w:val="15"/>
                <w:u w:val="single"/>
                <w:lang w:val="en-US" w:eastAsia="zh-CN"/>
              </w:rPr>
              <w:t xml:space="preserve">  </w:t>
            </w:r>
          </w:p>
        </w:tc>
        <w:tc>
          <w:tcPr>
            <w:tcW w:w="4820" w:type="dxa"/>
            <w:gridSpan w:val="7"/>
            <w:tcBorders>
              <w:top w:val="single" w:color="auto" w:sz="6" w:space="0"/>
              <w:left w:val="single" w:color="auto" w:sz="4" w:space="0"/>
              <w:bottom w:val="single" w:color="auto" w:sz="4" w:space="0"/>
              <w:right w:val="single" w:color="auto" w:sz="8"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开户行名称：</w:t>
            </w:r>
            <w:permStart w:id="31" w:edGrp="everyone"/>
            <w:r>
              <w:rPr>
                <w:rFonts w:hint="eastAsia" w:ascii="仿宋" w:hAnsi="仿宋" w:eastAsia="仿宋" w:cs="仿宋"/>
                <w:szCs w:val="15"/>
                <w:u w:val="single"/>
                <w:lang w:val="en-US" w:eastAsia="zh-CN"/>
              </w:rPr>
              <w:t xml:space="preserve">                       </w:t>
            </w:r>
            <w:permEnd w:id="31"/>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64" w:hRule="atLeast"/>
          <w:jc w:val="center"/>
        </w:trPr>
        <w:tc>
          <w:tcPr>
            <w:tcW w:w="710" w:type="dxa"/>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9960" w:type="dxa"/>
            <w:gridSpan w:val="14"/>
            <w:tcBorders>
              <w:top w:val="single" w:color="auto" w:sz="4" w:space="0"/>
              <w:left w:val="single" w:color="auto" w:sz="4" w:space="0"/>
              <w:bottom w:val="single" w:color="auto" w:sz="8" w:space="0"/>
              <w:right w:val="single" w:color="auto" w:sz="8"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结算账号：</w:t>
            </w:r>
            <w:permStart w:id="32" w:edGrp="everyone"/>
            <w:r>
              <w:rPr>
                <w:rFonts w:hint="eastAsia" w:ascii="仿宋" w:hAnsi="仿宋" w:eastAsia="仿宋" w:cs="仿宋"/>
                <w:szCs w:val="15"/>
                <w:u w:val="single"/>
                <w:lang w:val="en-US" w:eastAsia="zh-CN"/>
              </w:rPr>
              <w:t xml:space="preserve">                              </w:t>
            </w:r>
            <w:permEnd w:id="32"/>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10670" w:type="dxa"/>
            <w:gridSpan w:val="15"/>
            <w:tcBorders>
              <w:top w:val="single" w:color="auto" w:sz="8" w:space="0"/>
              <w:left w:val="single" w:color="auto" w:sz="8" w:space="0"/>
              <w:bottom w:val="single" w:color="auto" w:sz="8" w:space="0"/>
              <w:right w:val="single" w:color="auto" w:sz="8" w:space="0"/>
            </w:tcBorders>
            <w:shd w:val="clear" w:color="auto" w:fill="EEECE1"/>
            <w:vAlign w:val="center"/>
          </w:tcPr>
          <w:p>
            <w:pPr>
              <w:pStyle w:val="14"/>
              <w:snapToGrid w:val="0"/>
              <w:spacing w:line="240" w:lineRule="auto"/>
              <w:rPr>
                <w:rFonts w:ascii="仿宋" w:hAnsi="仿宋" w:eastAsia="仿宋" w:cs="仿宋"/>
                <w:b/>
                <w:color w:val="auto"/>
                <w:kern w:val="2"/>
                <w:sz w:val="21"/>
                <w:szCs w:val="15"/>
              </w:rPr>
            </w:pPr>
            <w:r>
              <w:rPr>
                <w:rFonts w:hint="eastAsia" w:ascii="仿宋" w:hAnsi="仿宋" w:eastAsia="仿宋" w:cs="仿宋"/>
                <w:b/>
                <w:color w:val="auto"/>
                <w:kern w:val="2"/>
                <w:sz w:val="21"/>
                <w:szCs w:val="15"/>
              </w:rPr>
              <w:t>乙方（收单机构）：银盛支付服务股份有限公司</w:t>
            </w:r>
            <w:permStart w:id="33" w:edGrp="everyone"/>
            <w:r>
              <w:rPr>
                <w:rFonts w:hint="eastAsia" w:ascii="仿宋" w:hAnsi="仿宋" w:eastAsia="仿宋" w:cs="仿宋"/>
                <w:b/>
                <w:color w:val="auto"/>
                <w:sz w:val="21"/>
                <w:szCs w:val="15"/>
              </w:rPr>
              <w:t>＿＿＿＿＿＿＿＿</w:t>
            </w:r>
            <w:permEnd w:id="33"/>
            <w:r>
              <w:rPr>
                <w:rFonts w:hint="eastAsia" w:ascii="仿宋" w:hAnsi="仿宋" w:eastAsia="仿宋" w:cs="仿宋"/>
                <w:b/>
                <w:color w:val="auto"/>
                <w:sz w:val="21"/>
                <w:szCs w:val="15"/>
              </w:rPr>
              <w:t>＿</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380" w:hRule="atLeast"/>
          <w:jc w:val="center"/>
        </w:trPr>
        <w:tc>
          <w:tcPr>
            <w:tcW w:w="710" w:type="dxa"/>
            <w:vMerge w:val="restart"/>
            <w:tcBorders>
              <w:top w:val="single" w:color="auto" w:sz="8" w:space="0"/>
              <w:left w:val="single" w:color="auto" w:sz="8" w:space="0"/>
              <w:bottom w:val="single" w:color="auto" w:sz="8"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交易手续 费</w:t>
            </w:r>
          </w:p>
        </w:tc>
        <w:tc>
          <w:tcPr>
            <w:tcW w:w="1607" w:type="dxa"/>
            <w:tcBorders>
              <w:top w:val="single" w:color="auto" w:sz="8"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网银支付</w:t>
            </w:r>
          </w:p>
        </w:tc>
        <w:tc>
          <w:tcPr>
            <w:tcW w:w="6029" w:type="dxa"/>
            <w:gridSpan w:val="11"/>
            <w:tcBorders>
              <w:top w:val="single" w:color="auto" w:sz="8" w:space="0"/>
              <w:left w:val="single" w:color="auto" w:sz="4" w:space="0"/>
              <w:bottom w:val="single" w:color="auto" w:sz="4" w:space="0"/>
              <w:right w:val="single" w:color="auto" w:sz="4" w:space="0"/>
            </w:tcBorders>
            <w:vAlign w:val="center"/>
          </w:tcPr>
          <w:p>
            <w:pPr>
              <w:adjustRightInd w:val="0"/>
              <w:snapToGrid w:val="0"/>
              <w:spacing w:line="240" w:lineRule="auto"/>
              <w:jc w:val="left"/>
              <w:rPr>
                <w:rFonts w:hint="default" w:ascii="仿宋" w:hAnsi="仿宋" w:eastAsia="仿宋" w:cs="仿宋"/>
                <w:szCs w:val="15"/>
                <w:u w:val="none"/>
                <w:lang w:val="en-US" w:eastAsia="zh-CN"/>
              </w:rPr>
            </w:pPr>
            <w:r>
              <w:rPr>
                <w:rFonts w:hint="eastAsia" w:ascii="仿宋" w:hAnsi="仿宋" w:eastAsia="仿宋" w:cs="仿宋"/>
                <w:szCs w:val="15"/>
                <w:u w:val="none"/>
                <w:lang w:val="en-US" w:eastAsia="zh-CN"/>
              </w:rPr>
              <w:t>B2C：借记卡：</w:t>
            </w:r>
            <w:permStart w:id="34" w:edGrp="everyone"/>
            <w:r>
              <w:rPr>
                <w:rFonts w:hint="eastAsia" w:ascii="仿宋" w:hAnsi="仿宋" w:eastAsia="仿宋" w:cs="仿宋"/>
                <w:szCs w:val="15"/>
                <w:u w:val="none"/>
                <w:lang w:val="en-US" w:eastAsia="zh-CN"/>
              </w:rPr>
              <w:t>＿＿＿＿＿</w:t>
            </w:r>
            <w:permEnd w:id="34"/>
            <w:r>
              <w:rPr>
                <w:rFonts w:hint="eastAsia" w:ascii="仿宋" w:hAnsi="仿宋" w:eastAsia="仿宋" w:cs="仿宋"/>
                <w:szCs w:val="15"/>
                <w:u w:val="none"/>
                <w:lang w:val="en-US" w:eastAsia="zh-CN"/>
              </w:rPr>
              <w:t xml:space="preserve"> 、贷记卡：</w:t>
            </w:r>
            <w:permStart w:id="35" w:edGrp="everyone"/>
            <w:r>
              <w:rPr>
                <w:rFonts w:hint="eastAsia" w:ascii="仿宋" w:hAnsi="仿宋" w:eastAsia="仿宋" w:cs="仿宋"/>
                <w:szCs w:val="15"/>
              </w:rPr>
              <w:t>＿＿＿＿＿</w:t>
            </w:r>
            <w:permEnd w:id="35"/>
          </w:p>
          <w:p>
            <w:pPr>
              <w:adjustRightInd w:val="0"/>
              <w:snapToGrid w:val="0"/>
              <w:spacing w:line="240" w:lineRule="auto"/>
              <w:jc w:val="left"/>
              <w:rPr>
                <w:rFonts w:hint="default" w:ascii="仿宋" w:hAnsi="仿宋" w:eastAsia="仿宋" w:cs="仿宋"/>
                <w:szCs w:val="15"/>
                <w:u w:val="none"/>
                <w:lang w:val="en-US" w:eastAsia="zh-CN"/>
              </w:rPr>
            </w:pPr>
            <w:r>
              <w:rPr>
                <w:rFonts w:hint="eastAsia" w:ascii="仿宋" w:hAnsi="仿宋" w:eastAsia="仿宋" w:cs="仿宋"/>
                <w:szCs w:val="15"/>
                <w:u w:val="none"/>
                <w:lang w:val="en-US" w:eastAsia="zh-CN"/>
              </w:rPr>
              <w:t>B2B：</w:t>
            </w:r>
            <w:permStart w:id="36" w:edGrp="everyone"/>
            <w:r>
              <w:rPr>
                <w:rFonts w:hint="eastAsia" w:ascii="仿宋" w:hAnsi="仿宋" w:eastAsia="仿宋" w:cs="仿宋"/>
                <w:szCs w:val="15"/>
              </w:rPr>
              <w:t>＿＿＿＿＿</w:t>
            </w:r>
            <w:permEnd w:id="36"/>
          </w:p>
        </w:tc>
        <w:tc>
          <w:tcPr>
            <w:tcW w:w="2324" w:type="dxa"/>
            <w:gridSpan w:val="2"/>
            <w:vMerge w:val="restart"/>
            <w:tcBorders>
              <w:top w:val="single" w:color="auto" w:sz="8" w:space="0"/>
              <w:left w:val="single" w:color="auto" w:sz="4" w:space="0"/>
              <w:bottom w:val="single" w:color="auto" w:sz="8" w:space="0"/>
              <w:right w:val="single" w:color="auto" w:sz="8" w:space="0"/>
            </w:tcBorders>
            <w:vAlign w:val="center"/>
          </w:tcPr>
          <w:p>
            <w:pPr>
              <w:adjustRightInd w:val="0"/>
              <w:snapToGrid w:val="0"/>
              <w:spacing w:line="240" w:lineRule="auto"/>
              <w:jc w:val="left"/>
              <w:rPr>
                <w:rFonts w:ascii="仿宋" w:hAnsi="仿宋" w:eastAsia="仿宋" w:cs="仿宋"/>
                <w:szCs w:val="15"/>
              </w:rPr>
            </w:pPr>
            <w:r>
              <w:rPr>
                <w:rFonts w:hint="eastAsia" w:ascii="仿宋" w:hAnsi="仿宋" w:eastAsia="仿宋" w:cs="仿宋"/>
                <w:szCs w:val="15"/>
              </w:rPr>
              <w:t>收取方式：</w:t>
            </w:r>
          </w:p>
          <w:p>
            <w:pPr>
              <w:adjustRightInd w:val="0"/>
              <w:snapToGrid w:val="0"/>
              <w:spacing w:line="240" w:lineRule="auto"/>
              <w:jc w:val="left"/>
              <w:rPr>
                <w:rFonts w:ascii="仿宋" w:hAnsi="仿宋" w:eastAsia="仿宋" w:cs="仿宋"/>
                <w:szCs w:val="15"/>
              </w:rPr>
            </w:pPr>
            <w:permStart w:id="37" w:edGrp="everyone"/>
            <w:r>
              <w:rPr>
                <w:rFonts w:hint="eastAsia" w:ascii="仿宋" w:hAnsi="仿宋" w:eastAsia="仿宋" w:cs="仿宋"/>
                <w:szCs w:val="15"/>
              </w:rPr>
              <w:sym w:font="Wingdings" w:char="00A8"/>
            </w:r>
            <w:permEnd w:id="37"/>
            <w:r>
              <w:rPr>
                <w:rFonts w:hint="eastAsia" w:ascii="仿宋" w:hAnsi="仿宋" w:eastAsia="仿宋" w:cs="仿宋"/>
                <w:szCs w:val="15"/>
              </w:rPr>
              <w:t>交易资金中扣收；</w:t>
            </w:r>
          </w:p>
          <w:p>
            <w:pPr>
              <w:adjustRightInd w:val="0"/>
              <w:snapToGrid w:val="0"/>
              <w:spacing w:line="240" w:lineRule="auto"/>
              <w:jc w:val="left"/>
              <w:rPr>
                <w:rFonts w:ascii="仿宋" w:hAnsi="仿宋" w:eastAsia="仿宋" w:cs="仿宋"/>
                <w:szCs w:val="15"/>
              </w:rPr>
            </w:pPr>
            <w:permStart w:id="38" w:edGrp="everyone"/>
            <w:r>
              <w:rPr>
                <w:rFonts w:hint="eastAsia" w:ascii="仿宋" w:hAnsi="仿宋" w:eastAsia="仿宋" w:cs="仿宋"/>
                <w:szCs w:val="15"/>
              </w:rPr>
              <w:sym w:font="Wingdings" w:char="00A8"/>
            </w:r>
            <w:permEnd w:id="38"/>
            <w:r>
              <w:rPr>
                <w:rFonts w:hint="eastAsia" w:ascii="仿宋" w:hAnsi="仿宋" w:eastAsia="仿宋" w:cs="仿宋"/>
                <w:szCs w:val="15"/>
              </w:rPr>
              <w:t>月结；</w:t>
            </w:r>
          </w:p>
          <w:p>
            <w:pPr>
              <w:adjustRightInd w:val="0"/>
              <w:snapToGrid w:val="0"/>
              <w:spacing w:line="240" w:lineRule="auto"/>
              <w:jc w:val="left"/>
              <w:rPr>
                <w:rFonts w:ascii="仿宋" w:hAnsi="仿宋" w:eastAsia="仿宋" w:cs="仿宋"/>
                <w:szCs w:val="15"/>
              </w:rPr>
            </w:pPr>
            <w:permStart w:id="39" w:edGrp="everyone"/>
            <w:r>
              <w:rPr>
                <w:rFonts w:hint="eastAsia" w:ascii="仿宋" w:hAnsi="仿宋" w:eastAsia="仿宋" w:cs="仿宋"/>
                <w:szCs w:val="15"/>
              </w:rPr>
              <w:sym w:font="Wingdings" w:char="00A8"/>
            </w:r>
            <w:permEnd w:id="39"/>
            <w:r>
              <w:rPr>
                <w:rFonts w:hint="eastAsia" w:ascii="仿宋" w:hAnsi="仿宋" w:eastAsia="仿宋" w:cs="仿宋"/>
                <w:szCs w:val="15"/>
              </w:rPr>
              <w:t>手续费预充；</w:t>
            </w:r>
          </w:p>
          <w:p>
            <w:pPr>
              <w:adjustRightInd w:val="0"/>
              <w:snapToGrid w:val="0"/>
              <w:spacing w:line="240" w:lineRule="auto"/>
              <w:jc w:val="left"/>
              <w:rPr>
                <w:rFonts w:ascii="仿宋" w:hAnsi="仿宋" w:eastAsia="仿宋" w:cs="仿宋"/>
                <w:szCs w:val="15"/>
              </w:rPr>
            </w:pPr>
            <w:permStart w:id="40" w:edGrp="everyone"/>
            <w:r>
              <w:rPr>
                <w:rFonts w:hint="eastAsia" w:ascii="仿宋" w:hAnsi="仿宋" w:eastAsia="仿宋" w:cs="仿宋"/>
                <w:szCs w:val="15"/>
              </w:rPr>
              <w:sym w:font="Wingdings" w:char="00A8"/>
            </w:r>
            <w:permEnd w:id="40"/>
            <w:r>
              <w:rPr>
                <w:rFonts w:hint="eastAsia" w:ascii="仿宋" w:hAnsi="仿宋" w:eastAsia="仿宋" w:cs="仿宋"/>
                <w:szCs w:val="15"/>
              </w:rPr>
              <w:t>其他＿</w:t>
            </w:r>
            <w:permStart w:id="41" w:edGrp="everyone"/>
            <w:r>
              <w:rPr>
                <w:rFonts w:hint="eastAsia" w:ascii="仿宋" w:hAnsi="仿宋" w:eastAsia="仿宋" w:cs="仿宋"/>
                <w:szCs w:val="15"/>
              </w:rPr>
              <w:t>＿＿</w:t>
            </w:r>
            <w:permEnd w:id="41"/>
            <w:r>
              <w:rPr>
                <w:rFonts w:hint="eastAsia" w:ascii="仿宋" w:hAnsi="仿宋" w:eastAsia="仿宋" w:cs="仿宋"/>
                <w:szCs w:val="15"/>
              </w:rPr>
              <w:t>＿＿</w:t>
            </w:r>
          </w:p>
          <w:p>
            <w:pPr>
              <w:adjustRightInd w:val="0"/>
              <w:snapToGrid w:val="0"/>
              <w:spacing w:line="240" w:lineRule="auto"/>
              <w:jc w:val="left"/>
              <w:rPr>
                <w:rFonts w:ascii="仿宋" w:hAnsi="仿宋" w:eastAsia="仿宋" w:cs="仿宋"/>
                <w:szCs w:val="15"/>
              </w:rPr>
            </w:pPr>
          </w:p>
          <w:p>
            <w:pPr>
              <w:adjustRightInd w:val="0"/>
              <w:snapToGrid w:val="0"/>
              <w:spacing w:line="240" w:lineRule="auto"/>
              <w:jc w:val="left"/>
              <w:rPr>
                <w:rFonts w:ascii="仿宋" w:hAnsi="仿宋" w:eastAsia="仿宋" w:cs="仿宋"/>
                <w:szCs w:val="15"/>
              </w:rPr>
            </w:pPr>
          </w:p>
          <w:p>
            <w:pPr>
              <w:adjustRightInd w:val="0"/>
              <w:snapToGrid w:val="0"/>
              <w:spacing w:line="240" w:lineRule="auto"/>
              <w:jc w:val="left"/>
              <w:rPr>
                <w:rFonts w:ascii="仿宋" w:hAnsi="仿宋" w:eastAsia="仿宋" w:cs="仿宋"/>
                <w:szCs w:val="15"/>
              </w:rPr>
            </w:pPr>
          </w:p>
          <w:p>
            <w:pPr>
              <w:adjustRightInd w:val="0"/>
              <w:snapToGrid w:val="0"/>
              <w:spacing w:line="240" w:lineRule="auto"/>
              <w:jc w:val="left"/>
              <w:rPr>
                <w:rFonts w:ascii="仿宋" w:hAnsi="仿宋" w:eastAsia="仿宋" w:cs="仿宋"/>
                <w:szCs w:val="15"/>
              </w:rPr>
            </w:pPr>
            <w:r>
              <w:rPr>
                <w:rFonts w:hint="eastAsia" w:ascii="仿宋" w:hAnsi="仿宋" w:eastAsia="仿宋" w:cs="仿宋"/>
                <w:szCs w:val="15"/>
              </w:rPr>
              <w:t>注意：</w:t>
            </w:r>
          </w:p>
          <w:p>
            <w:pPr>
              <w:adjustRightInd w:val="0"/>
              <w:snapToGrid w:val="0"/>
              <w:spacing w:line="240" w:lineRule="auto"/>
              <w:jc w:val="left"/>
              <w:rPr>
                <w:rFonts w:ascii="仿宋" w:hAnsi="仿宋" w:eastAsia="仿宋" w:cs="仿宋"/>
                <w:szCs w:val="15"/>
              </w:rPr>
            </w:pPr>
            <w:r>
              <w:rPr>
                <w:rFonts w:hint="eastAsia" w:ascii="仿宋" w:hAnsi="仿宋" w:eastAsia="仿宋" w:cs="仿宋"/>
                <w:szCs w:val="15"/>
              </w:rPr>
              <w:t>1.计算公式：交易手续费=交易金额×费率；</w:t>
            </w:r>
          </w:p>
          <w:p>
            <w:pPr>
              <w:adjustRightInd w:val="0"/>
              <w:snapToGrid w:val="0"/>
              <w:spacing w:line="240" w:lineRule="auto"/>
              <w:rPr>
                <w:rFonts w:ascii="仿宋" w:hAnsi="仿宋" w:eastAsia="仿宋" w:cs="仿宋"/>
                <w:szCs w:val="15"/>
              </w:rPr>
            </w:pPr>
            <w:r>
              <w:rPr>
                <w:rFonts w:hint="eastAsia" w:ascii="仿宋" w:hAnsi="仿宋" w:eastAsia="仿宋" w:cs="仿宋"/>
                <w:szCs w:val="15"/>
              </w:rPr>
              <w:t>2.结算币种：人民币.</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05" w:hRule="atLeast"/>
          <w:jc w:val="center"/>
        </w:trPr>
        <w:tc>
          <w:tcPr>
            <w:tcW w:w="710" w:type="dxa"/>
            <w:vMerge w:val="continue"/>
            <w:tcBorders>
              <w:top w:val="single" w:color="auto" w:sz="8"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16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b/>
                <w:sz w:val="18"/>
                <w:szCs w:val="15"/>
              </w:rPr>
            </w:pPr>
            <w:r>
              <w:rPr>
                <w:rFonts w:hint="eastAsia" w:ascii="仿宋" w:hAnsi="仿宋" w:eastAsia="仿宋" w:cs="仿宋"/>
                <w:szCs w:val="15"/>
              </w:rPr>
              <w:t>快捷/协议支付</w:t>
            </w:r>
          </w:p>
        </w:tc>
        <w:tc>
          <w:tcPr>
            <w:tcW w:w="6029"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left"/>
              <w:rPr>
                <w:rFonts w:hint="default" w:ascii="仿宋" w:hAnsi="仿宋" w:eastAsia="仿宋" w:cs="仿宋"/>
                <w:b/>
                <w:szCs w:val="15"/>
                <w:lang w:val="en-US" w:eastAsia="zh-CN"/>
              </w:rPr>
            </w:pPr>
            <w:r>
              <w:rPr>
                <w:rFonts w:hint="eastAsia" w:ascii="仿宋" w:hAnsi="仿宋" w:eastAsia="仿宋" w:cs="仿宋"/>
                <w:b/>
                <w:szCs w:val="15"/>
                <w:lang w:val="en-US" w:eastAsia="zh-CN"/>
              </w:rPr>
              <w:t>借记卡：</w:t>
            </w:r>
            <w:permStart w:id="42" w:edGrp="everyone"/>
            <w:r>
              <w:rPr>
                <w:rFonts w:hint="eastAsia" w:ascii="仿宋" w:hAnsi="仿宋" w:eastAsia="仿宋" w:cs="仿宋"/>
                <w:szCs w:val="15"/>
              </w:rPr>
              <w:t>＿＿＿＿＿</w:t>
            </w:r>
            <w:permEnd w:id="42"/>
            <w:r>
              <w:rPr>
                <w:rFonts w:hint="eastAsia" w:ascii="仿宋" w:hAnsi="仿宋" w:eastAsia="仿宋" w:cs="仿宋"/>
                <w:b/>
                <w:szCs w:val="15"/>
                <w:lang w:val="en-US" w:eastAsia="zh-CN"/>
              </w:rPr>
              <w:t>、贷记卡：</w:t>
            </w:r>
            <w:permStart w:id="43" w:edGrp="everyone"/>
            <w:r>
              <w:rPr>
                <w:rFonts w:hint="eastAsia" w:ascii="仿宋" w:hAnsi="仿宋" w:eastAsia="仿宋" w:cs="仿宋"/>
                <w:szCs w:val="15"/>
              </w:rPr>
              <w:t>＿＿＿＿</w:t>
            </w:r>
            <w:permEnd w:id="43"/>
            <w:r>
              <w:rPr>
                <w:rFonts w:hint="eastAsia" w:ascii="仿宋" w:hAnsi="仿宋" w:eastAsia="仿宋" w:cs="仿宋"/>
                <w:szCs w:val="15"/>
              </w:rPr>
              <w:t>＿</w:t>
            </w:r>
          </w:p>
        </w:tc>
        <w:tc>
          <w:tcPr>
            <w:tcW w:w="2324" w:type="dxa"/>
            <w:gridSpan w:val="2"/>
            <w:vMerge w:val="continue"/>
            <w:tcBorders>
              <w:top w:val="single" w:color="auto" w:sz="8" w:space="0"/>
              <w:left w:val="single" w:color="auto" w:sz="4" w:space="0"/>
              <w:bottom w:val="single" w:color="auto" w:sz="4" w:space="0"/>
              <w:right w:val="single" w:color="auto" w:sz="8" w:space="0"/>
            </w:tcBorders>
            <w:vAlign w:val="center"/>
          </w:tcPr>
          <w:p>
            <w:pPr>
              <w:adjustRightInd w:val="0"/>
              <w:snapToGrid w:val="0"/>
              <w:spacing w:line="240" w:lineRule="auto"/>
              <w:rPr>
                <w:rFonts w:ascii="仿宋" w:hAnsi="仿宋" w:eastAsia="仿宋" w:cs="仿宋"/>
                <w:b/>
                <w:szCs w:val="15"/>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319" w:hRule="atLeast"/>
          <w:jc w:val="center"/>
        </w:trPr>
        <w:tc>
          <w:tcPr>
            <w:tcW w:w="710" w:type="dxa"/>
            <w:vMerge w:val="continue"/>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16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ind w:firstLine="420" w:firstLineChars="200"/>
              <w:rPr>
                <w:rFonts w:ascii="仿宋" w:hAnsi="仿宋" w:eastAsia="仿宋" w:cs="仿宋"/>
                <w:szCs w:val="15"/>
              </w:rPr>
            </w:pPr>
            <w:r>
              <w:rPr>
                <w:rFonts w:hint="eastAsia" w:ascii="仿宋" w:hAnsi="仿宋" w:eastAsia="仿宋" w:cs="仿宋"/>
                <w:szCs w:val="15"/>
              </w:rPr>
              <w:t>代收</w:t>
            </w:r>
          </w:p>
        </w:tc>
        <w:tc>
          <w:tcPr>
            <w:tcW w:w="6029"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left"/>
              <w:rPr>
                <w:rFonts w:ascii="仿宋" w:hAnsi="仿宋" w:eastAsia="仿宋" w:cs="仿宋"/>
                <w:szCs w:val="15"/>
              </w:rPr>
            </w:pPr>
            <w:r>
              <w:rPr>
                <w:rFonts w:hint="eastAsia" w:ascii="仿宋" w:hAnsi="仿宋" w:eastAsia="仿宋" w:cs="仿宋"/>
                <w:szCs w:val="15"/>
              </w:rPr>
              <w:t>普通：</w:t>
            </w:r>
            <w:permStart w:id="44" w:edGrp="everyone"/>
            <w:r>
              <w:rPr>
                <w:rFonts w:hint="eastAsia" w:ascii="仿宋" w:hAnsi="仿宋" w:eastAsia="仿宋" w:cs="仿宋"/>
                <w:szCs w:val="15"/>
                <w:u w:val="single"/>
              </w:rPr>
              <w:t xml:space="preserve">                     </w:t>
            </w:r>
            <w:permEnd w:id="44"/>
            <w:r>
              <w:rPr>
                <w:rFonts w:hint="eastAsia" w:ascii="仿宋" w:hAnsi="仿宋" w:eastAsia="仿宋" w:cs="仿宋"/>
                <w:szCs w:val="15"/>
                <w:u w:val="single"/>
              </w:rPr>
              <w:t xml:space="preserve"> </w:t>
            </w:r>
            <w:r>
              <w:rPr>
                <w:rFonts w:hint="eastAsia" w:ascii="仿宋" w:hAnsi="仿宋" w:eastAsia="仿宋" w:cs="仿宋"/>
                <w:szCs w:val="15"/>
              </w:rPr>
              <w:t xml:space="preserve"> 加急：</w:t>
            </w:r>
            <w:permStart w:id="45" w:edGrp="everyone"/>
            <w:r>
              <w:rPr>
                <w:rFonts w:hint="eastAsia" w:ascii="仿宋" w:hAnsi="仿宋" w:eastAsia="仿宋" w:cs="仿宋"/>
                <w:szCs w:val="15"/>
              </w:rPr>
              <w:t>＿＿＿＿</w:t>
            </w:r>
            <w:permEnd w:id="45"/>
            <w:r>
              <w:rPr>
                <w:rFonts w:hint="eastAsia" w:ascii="仿宋" w:hAnsi="仿宋" w:eastAsia="仿宋" w:cs="仿宋"/>
                <w:szCs w:val="15"/>
              </w:rPr>
              <w:t>＿</w:t>
            </w:r>
          </w:p>
        </w:tc>
        <w:tc>
          <w:tcPr>
            <w:tcW w:w="2324" w:type="dxa"/>
            <w:gridSpan w:val="2"/>
            <w:vMerge w:val="continue"/>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uto"/>
              <w:rPr>
                <w:rFonts w:ascii="仿宋" w:hAnsi="仿宋" w:eastAsia="仿宋" w:cs="仿宋"/>
                <w:b/>
                <w:szCs w:val="15"/>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304" w:hRule="atLeast"/>
          <w:jc w:val="center"/>
        </w:trPr>
        <w:tc>
          <w:tcPr>
            <w:tcW w:w="710" w:type="dxa"/>
            <w:vMerge w:val="continue"/>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16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ind w:firstLine="420" w:firstLineChars="200"/>
              <w:rPr>
                <w:rFonts w:ascii="仿宋" w:hAnsi="仿宋" w:eastAsia="仿宋" w:cs="仿宋"/>
                <w:szCs w:val="15"/>
              </w:rPr>
            </w:pPr>
            <w:r>
              <w:rPr>
                <w:rFonts w:hint="eastAsia" w:ascii="仿宋" w:hAnsi="仿宋" w:eastAsia="仿宋" w:cs="仿宋"/>
                <w:szCs w:val="15"/>
              </w:rPr>
              <w:t>代付</w:t>
            </w:r>
          </w:p>
        </w:tc>
        <w:tc>
          <w:tcPr>
            <w:tcW w:w="6029"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left"/>
              <w:rPr>
                <w:rFonts w:ascii="仿宋" w:hAnsi="仿宋" w:eastAsia="仿宋" w:cs="仿宋"/>
                <w:szCs w:val="15"/>
              </w:rPr>
            </w:pPr>
            <w:r>
              <w:rPr>
                <w:rFonts w:hint="eastAsia" w:ascii="仿宋" w:hAnsi="仿宋" w:eastAsia="仿宋" w:cs="仿宋"/>
                <w:szCs w:val="15"/>
              </w:rPr>
              <w:t>普通：</w:t>
            </w:r>
            <w:permStart w:id="46" w:edGrp="everyone"/>
            <w:r>
              <w:rPr>
                <w:rFonts w:hint="eastAsia" w:ascii="仿宋" w:hAnsi="仿宋" w:eastAsia="仿宋" w:cs="仿宋"/>
                <w:szCs w:val="15"/>
                <w:u w:val="single"/>
              </w:rPr>
              <w:t xml:space="preserve">                     </w:t>
            </w:r>
            <w:permEnd w:id="46"/>
            <w:r>
              <w:rPr>
                <w:rFonts w:hint="eastAsia" w:ascii="仿宋" w:hAnsi="仿宋" w:eastAsia="仿宋" w:cs="仿宋"/>
                <w:szCs w:val="15"/>
                <w:u w:val="single"/>
              </w:rPr>
              <w:t xml:space="preserve"> </w:t>
            </w:r>
            <w:r>
              <w:rPr>
                <w:rFonts w:hint="eastAsia" w:ascii="仿宋" w:hAnsi="仿宋" w:eastAsia="仿宋" w:cs="仿宋"/>
                <w:szCs w:val="15"/>
              </w:rPr>
              <w:t xml:space="preserve"> 加急：</w:t>
            </w:r>
            <w:permStart w:id="47" w:edGrp="everyone"/>
            <w:r>
              <w:rPr>
                <w:rFonts w:hint="eastAsia" w:ascii="仿宋" w:hAnsi="仿宋" w:eastAsia="仿宋" w:cs="仿宋"/>
                <w:szCs w:val="15"/>
              </w:rPr>
              <w:t>＿＿＿＿</w:t>
            </w:r>
            <w:permEnd w:id="47"/>
            <w:r>
              <w:rPr>
                <w:rFonts w:hint="eastAsia" w:ascii="仿宋" w:hAnsi="仿宋" w:eastAsia="仿宋" w:cs="仿宋"/>
                <w:szCs w:val="15"/>
              </w:rPr>
              <w:t>＿</w:t>
            </w:r>
          </w:p>
        </w:tc>
        <w:tc>
          <w:tcPr>
            <w:tcW w:w="2324" w:type="dxa"/>
            <w:gridSpan w:val="2"/>
            <w:vMerge w:val="continue"/>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uto"/>
              <w:rPr>
                <w:rFonts w:ascii="仿宋" w:hAnsi="仿宋" w:eastAsia="仿宋" w:cs="仿宋"/>
                <w:b/>
                <w:szCs w:val="15"/>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05" w:hRule="atLeast"/>
          <w:jc w:val="center"/>
        </w:trPr>
        <w:tc>
          <w:tcPr>
            <w:tcW w:w="710" w:type="dxa"/>
            <w:vMerge w:val="continue"/>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16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ind w:left="210" w:leftChars="100" w:firstLine="0" w:firstLineChars="0"/>
              <w:jc w:val="left"/>
              <w:rPr>
                <w:rFonts w:ascii="仿宋" w:hAnsi="仿宋" w:eastAsia="仿宋" w:cs="仿宋"/>
                <w:b/>
                <w:szCs w:val="15"/>
              </w:rPr>
            </w:pPr>
            <w:r>
              <w:rPr>
                <w:rFonts w:hint="eastAsia" w:ascii="仿宋" w:hAnsi="仿宋" w:eastAsia="仿宋" w:cs="仿宋"/>
                <w:szCs w:val="15"/>
              </w:rPr>
              <w:t>条码支付</w:t>
            </w:r>
          </w:p>
        </w:tc>
        <w:tc>
          <w:tcPr>
            <w:tcW w:w="6029"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left"/>
              <w:rPr>
                <w:rFonts w:hint="eastAsia" w:ascii="仿宋" w:hAnsi="仿宋" w:eastAsia="仿宋" w:cs="仿宋"/>
                <w:szCs w:val="15"/>
              </w:rPr>
            </w:pPr>
            <w:r>
              <w:rPr>
                <w:rFonts w:hint="eastAsia" w:ascii="仿宋" w:hAnsi="仿宋" w:eastAsia="仿宋" w:cs="仿宋"/>
                <w:szCs w:val="15"/>
              </w:rPr>
              <w:t>微信：</w:t>
            </w:r>
            <w:permStart w:id="48" w:edGrp="everyone"/>
            <w:r>
              <w:rPr>
                <w:rFonts w:hint="eastAsia" w:ascii="仿宋" w:hAnsi="仿宋" w:eastAsia="仿宋" w:cs="仿宋"/>
                <w:szCs w:val="15"/>
                <w:u w:val="single"/>
              </w:rPr>
              <w:t xml:space="preserve">       </w:t>
            </w:r>
            <w:permEnd w:id="48"/>
            <w:r>
              <w:rPr>
                <w:rFonts w:hint="eastAsia" w:ascii="仿宋" w:hAnsi="仿宋" w:eastAsia="仿宋" w:cs="仿宋"/>
                <w:szCs w:val="15"/>
                <w:u w:val="single"/>
              </w:rPr>
              <w:t xml:space="preserve"> </w:t>
            </w:r>
            <w:r>
              <w:rPr>
                <w:rFonts w:hint="eastAsia" w:ascii="仿宋" w:hAnsi="仿宋" w:eastAsia="仿宋" w:cs="仿宋"/>
                <w:szCs w:val="15"/>
                <w:u w:val="none"/>
                <w:lang w:eastAsia="zh-CN"/>
              </w:rPr>
              <w:t>、</w:t>
            </w:r>
            <w:r>
              <w:rPr>
                <w:rFonts w:hint="eastAsia" w:ascii="仿宋" w:hAnsi="仿宋" w:eastAsia="仿宋" w:cs="仿宋"/>
                <w:szCs w:val="15"/>
              </w:rPr>
              <w:t>支付宝：</w:t>
            </w:r>
            <w:permStart w:id="49" w:edGrp="everyone"/>
            <w:r>
              <w:rPr>
                <w:rFonts w:hint="eastAsia" w:ascii="仿宋" w:hAnsi="仿宋" w:eastAsia="仿宋" w:cs="仿宋"/>
                <w:szCs w:val="15"/>
                <w:u w:val="single"/>
              </w:rPr>
              <w:t xml:space="preserve">       </w:t>
            </w:r>
            <w:permEnd w:id="49"/>
          </w:p>
          <w:p>
            <w:pPr>
              <w:adjustRightInd w:val="0"/>
              <w:snapToGrid w:val="0"/>
              <w:spacing w:line="240" w:lineRule="auto"/>
              <w:jc w:val="left"/>
              <w:rPr>
                <w:rFonts w:hint="eastAsia" w:ascii="仿宋" w:hAnsi="仿宋" w:eastAsia="仿宋" w:cs="仿宋"/>
                <w:szCs w:val="15"/>
                <w:u w:val="single"/>
                <w:lang w:val="en-US" w:eastAsia="zh-CN"/>
              </w:rPr>
            </w:pPr>
            <w:r>
              <w:rPr>
                <w:rFonts w:hint="eastAsia" w:ascii="仿宋" w:hAnsi="仿宋" w:eastAsia="仿宋" w:cs="仿宋"/>
                <w:szCs w:val="15"/>
              </w:rPr>
              <w:t>银联云闪付：</w:t>
            </w:r>
            <w:r>
              <w:rPr>
                <w:rFonts w:hint="eastAsia" w:ascii="仿宋" w:hAnsi="仿宋" w:eastAsia="仿宋" w:cs="仿宋"/>
                <w:szCs w:val="15"/>
                <w:lang w:val="en-US" w:eastAsia="zh-CN"/>
              </w:rPr>
              <w:t>小于等于1000元：</w:t>
            </w:r>
            <w:permStart w:id="50" w:edGrp="everyone"/>
            <w:r>
              <w:rPr>
                <w:rFonts w:hint="eastAsia" w:ascii="仿宋" w:hAnsi="仿宋" w:eastAsia="仿宋" w:cs="仿宋"/>
                <w:szCs w:val="15"/>
                <w:u w:val="single"/>
                <w:lang w:val="en-US" w:eastAsia="zh-CN"/>
              </w:rPr>
              <w:t xml:space="preserve">      </w:t>
            </w:r>
            <w:permEnd w:id="50"/>
            <w:r>
              <w:rPr>
                <w:rFonts w:hint="eastAsia" w:ascii="仿宋" w:hAnsi="仿宋" w:eastAsia="仿宋" w:cs="仿宋"/>
                <w:szCs w:val="15"/>
                <w:u w:val="single"/>
                <w:lang w:val="en-US" w:eastAsia="zh-CN"/>
              </w:rPr>
              <w:t xml:space="preserve"> </w:t>
            </w:r>
          </w:p>
          <w:p>
            <w:pPr>
              <w:adjustRightInd w:val="0"/>
              <w:snapToGrid w:val="0"/>
              <w:spacing w:line="240" w:lineRule="auto"/>
              <w:jc w:val="left"/>
              <w:rPr>
                <w:rFonts w:hint="default" w:ascii="仿宋" w:hAnsi="仿宋" w:eastAsia="仿宋" w:cs="仿宋"/>
                <w:szCs w:val="15"/>
                <w:lang w:val="en-US" w:eastAsia="zh-CN"/>
              </w:rPr>
            </w:pPr>
            <w:r>
              <w:rPr>
                <w:rFonts w:hint="eastAsia" w:ascii="仿宋" w:hAnsi="仿宋" w:eastAsia="仿宋" w:cs="仿宋"/>
                <w:szCs w:val="15"/>
              </w:rPr>
              <w:t xml:space="preserve">    </w:t>
            </w:r>
            <w:r>
              <w:rPr>
                <w:rFonts w:hint="eastAsia" w:ascii="仿宋" w:hAnsi="仿宋" w:eastAsia="仿宋" w:cs="仿宋"/>
                <w:szCs w:val="15"/>
                <w:lang w:val="en-US" w:eastAsia="zh-CN"/>
              </w:rPr>
              <w:t xml:space="preserve">        大于1000元：借记卡：</w:t>
            </w:r>
            <w:permStart w:id="51" w:edGrp="everyone"/>
            <w:r>
              <w:rPr>
                <w:rFonts w:hint="eastAsia" w:ascii="仿宋" w:hAnsi="仿宋" w:eastAsia="仿宋" w:cs="仿宋"/>
                <w:szCs w:val="15"/>
                <w:u w:val="single"/>
                <w:lang w:val="en-US" w:eastAsia="zh-CN"/>
              </w:rPr>
              <w:t xml:space="preserve">    </w:t>
            </w:r>
            <w:permEnd w:id="51"/>
            <w:r>
              <w:rPr>
                <w:rFonts w:hint="eastAsia" w:ascii="仿宋" w:hAnsi="仿宋" w:eastAsia="仿宋" w:cs="仿宋"/>
                <w:szCs w:val="15"/>
                <w:lang w:val="en-US" w:eastAsia="zh-CN"/>
              </w:rPr>
              <w:t xml:space="preserve"> 、贷记卡：</w:t>
            </w:r>
            <w:permStart w:id="52" w:edGrp="everyone"/>
            <w:r>
              <w:rPr>
                <w:rFonts w:hint="eastAsia" w:ascii="仿宋" w:hAnsi="仿宋" w:eastAsia="仿宋" w:cs="仿宋"/>
                <w:szCs w:val="15"/>
                <w:u w:val="single"/>
                <w:lang w:val="en-US" w:eastAsia="zh-CN"/>
              </w:rPr>
              <w:t xml:space="preserve">      </w:t>
            </w:r>
            <w:permEnd w:id="52"/>
            <w:r>
              <w:rPr>
                <w:rFonts w:hint="eastAsia" w:ascii="仿宋" w:hAnsi="仿宋" w:eastAsia="仿宋" w:cs="仿宋"/>
                <w:szCs w:val="15"/>
                <w:u w:val="single"/>
                <w:lang w:val="en-US" w:eastAsia="zh-CN"/>
              </w:rPr>
              <w:t xml:space="preserve"> </w:t>
            </w:r>
            <w:r>
              <w:rPr>
                <w:rFonts w:hint="eastAsia" w:ascii="仿宋" w:hAnsi="仿宋" w:eastAsia="仿宋" w:cs="仿宋"/>
                <w:szCs w:val="15"/>
                <w:lang w:val="en-US" w:eastAsia="zh-CN"/>
              </w:rPr>
              <w:t xml:space="preserve"> </w:t>
            </w:r>
          </w:p>
        </w:tc>
        <w:tc>
          <w:tcPr>
            <w:tcW w:w="2324" w:type="dxa"/>
            <w:gridSpan w:val="2"/>
            <w:vMerge w:val="continue"/>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uto"/>
              <w:rPr>
                <w:rFonts w:ascii="仿宋" w:hAnsi="仿宋" w:eastAsia="仿宋" w:cs="仿宋"/>
                <w:b/>
                <w:szCs w:val="15"/>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0" w:hRule="atLeast"/>
          <w:jc w:val="center"/>
        </w:trPr>
        <w:tc>
          <w:tcPr>
            <w:tcW w:w="710" w:type="dxa"/>
            <w:vMerge w:val="continue"/>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16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移动支付</w:t>
            </w:r>
          </w:p>
        </w:tc>
        <w:tc>
          <w:tcPr>
            <w:tcW w:w="6029"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left"/>
              <w:rPr>
                <w:rFonts w:ascii="仿宋" w:hAnsi="仿宋" w:eastAsia="仿宋"/>
                <w:szCs w:val="21"/>
              </w:rPr>
            </w:pPr>
            <w:r>
              <w:rPr>
                <w:rFonts w:hint="eastAsia" w:ascii="仿宋" w:hAnsi="仿宋" w:eastAsia="仿宋"/>
                <w:szCs w:val="21"/>
              </w:rPr>
              <w:t>微信:公众号：</w:t>
            </w:r>
            <w:permStart w:id="53" w:edGrp="everyone"/>
            <w:r>
              <w:rPr>
                <w:rFonts w:hint="eastAsia" w:ascii="仿宋" w:hAnsi="仿宋" w:eastAsia="仿宋"/>
                <w:szCs w:val="21"/>
                <w:u w:val="single"/>
              </w:rPr>
              <w:t xml:space="preserve">     </w:t>
            </w:r>
            <w:permEnd w:id="53"/>
            <w:r>
              <w:rPr>
                <w:rFonts w:hint="eastAsia" w:ascii="仿宋" w:hAnsi="仿宋" w:eastAsia="仿宋"/>
                <w:szCs w:val="21"/>
                <w:u w:val="none"/>
                <w:lang w:eastAsia="zh-CN"/>
              </w:rPr>
              <w:t>、</w:t>
            </w:r>
            <w:r>
              <w:rPr>
                <w:rFonts w:hint="eastAsia" w:ascii="仿宋" w:hAnsi="仿宋" w:eastAsia="仿宋"/>
                <w:szCs w:val="21"/>
              </w:rPr>
              <w:t>小程序：</w:t>
            </w:r>
            <w:permStart w:id="54" w:edGrp="everyone"/>
            <w:r>
              <w:rPr>
                <w:rFonts w:hint="eastAsia" w:ascii="仿宋" w:hAnsi="仿宋" w:eastAsia="仿宋"/>
                <w:szCs w:val="21"/>
                <w:u w:val="single"/>
              </w:rPr>
              <w:t xml:space="preserve">     </w:t>
            </w:r>
            <w:permEnd w:id="54"/>
            <w:r>
              <w:rPr>
                <w:rFonts w:hint="eastAsia" w:ascii="仿宋" w:hAnsi="仿宋" w:eastAsia="仿宋"/>
                <w:szCs w:val="21"/>
                <w:u w:val="none"/>
                <w:lang w:eastAsia="zh-CN"/>
              </w:rPr>
              <w:t>、</w:t>
            </w:r>
            <w:r>
              <w:rPr>
                <w:rFonts w:hint="eastAsia" w:ascii="仿宋" w:hAnsi="仿宋" w:eastAsia="仿宋"/>
                <w:szCs w:val="21"/>
              </w:rPr>
              <w:t xml:space="preserve"> APP：</w:t>
            </w:r>
            <w:permStart w:id="55" w:edGrp="everyone"/>
            <w:r>
              <w:rPr>
                <w:rFonts w:hint="eastAsia" w:ascii="仿宋" w:hAnsi="仿宋" w:eastAsia="仿宋"/>
                <w:szCs w:val="21"/>
                <w:u w:val="single"/>
              </w:rPr>
              <w:t xml:space="preserve">       </w:t>
            </w:r>
            <w:permEnd w:id="55"/>
            <w:r>
              <w:rPr>
                <w:rFonts w:ascii="仿宋" w:hAnsi="仿宋" w:eastAsia="仿宋"/>
                <w:szCs w:val="21"/>
              </w:rPr>
              <w:t xml:space="preserve"> </w:t>
            </w:r>
          </w:p>
          <w:p>
            <w:pPr>
              <w:adjustRightInd w:val="0"/>
              <w:snapToGrid w:val="0"/>
              <w:spacing w:line="240" w:lineRule="auto"/>
              <w:jc w:val="left"/>
              <w:rPr>
                <w:rFonts w:ascii="仿宋" w:hAnsi="仿宋" w:eastAsia="仿宋"/>
                <w:szCs w:val="21"/>
              </w:rPr>
            </w:pPr>
            <w:r>
              <w:rPr>
                <w:rFonts w:hint="eastAsia" w:ascii="仿宋" w:hAnsi="仿宋" w:eastAsia="仿宋"/>
                <w:szCs w:val="21"/>
              </w:rPr>
              <w:t>支付宝:WAP</w:t>
            </w:r>
            <w:r>
              <w:rPr>
                <w:rFonts w:hint="eastAsia" w:ascii="仿宋" w:hAnsi="仿宋" w:eastAsia="仿宋"/>
                <w:szCs w:val="21"/>
                <w:lang w:val="en-US" w:eastAsia="zh-CN"/>
              </w:rPr>
              <w:t>/H5</w:t>
            </w:r>
            <w:r>
              <w:rPr>
                <w:rFonts w:hint="eastAsia" w:ascii="仿宋" w:hAnsi="仿宋" w:eastAsia="仿宋"/>
                <w:szCs w:val="21"/>
              </w:rPr>
              <w:t>：</w:t>
            </w:r>
            <w:permStart w:id="56" w:edGrp="everyone"/>
            <w:r>
              <w:rPr>
                <w:rFonts w:hint="eastAsia" w:ascii="仿宋" w:hAnsi="仿宋" w:eastAsia="仿宋"/>
                <w:szCs w:val="21"/>
                <w:u w:val="single"/>
              </w:rPr>
              <w:t xml:space="preserve">     </w:t>
            </w:r>
            <w:permEnd w:id="56"/>
            <w:r>
              <w:rPr>
                <w:rFonts w:hint="eastAsia" w:ascii="仿宋" w:hAnsi="仿宋" w:eastAsia="仿宋"/>
                <w:szCs w:val="21"/>
                <w:u w:val="single"/>
              </w:rPr>
              <w:t xml:space="preserve"> </w:t>
            </w:r>
            <w:r>
              <w:rPr>
                <w:rFonts w:hint="eastAsia" w:ascii="仿宋" w:hAnsi="仿宋" w:eastAsia="仿宋"/>
                <w:szCs w:val="21"/>
                <w:u w:val="none"/>
                <w:lang w:eastAsia="zh-CN"/>
              </w:rPr>
              <w:t>、</w:t>
            </w:r>
            <w:r>
              <w:rPr>
                <w:rFonts w:hint="eastAsia" w:ascii="仿宋" w:hAnsi="仿宋" w:eastAsia="仿宋"/>
                <w:szCs w:val="21"/>
              </w:rPr>
              <w:t>服务窗：</w:t>
            </w:r>
            <w:permStart w:id="57" w:edGrp="everyone"/>
            <w:r>
              <w:rPr>
                <w:rFonts w:hint="eastAsia" w:ascii="仿宋" w:hAnsi="仿宋" w:eastAsia="仿宋"/>
                <w:szCs w:val="21"/>
                <w:u w:val="single"/>
              </w:rPr>
              <w:t xml:space="preserve">      </w:t>
            </w:r>
            <w:permEnd w:id="57"/>
            <w:r>
              <w:rPr>
                <w:rFonts w:hint="eastAsia" w:ascii="仿宋" w:hAnsi="仿宋" w:eastAsia="仿宋"/>
                <w:szCs w:val="21"/>
                <w:u w:val="single"/>
              </w:rPr>
              <w:t xml:space="preserve"> </w:t>
            </w:r>
            <w:r>
              <w:rPr>
                <w:rFonts w:hint="eastAsia" w:ascii="仿宋" w:hAnsi="仿宋" w:eastAsia="仿宋"/>
                <w:szCs w:val="21"/>
                <w:lang w:eastAsia="zh-CN"/>
              </w:rPr>
              <w:t>、</w:t>
            </w:r>
            <w:r>
              <w:rPr>
                <w:rFonts w:hint="eastAsia" w:ascii="仿宋" w:hAnsi="仿宋" w:eastAsia="仿宋"/>
                <w:szCs w:val="21"/>
              </w:rPr>
              <w:t>APP：</w:t>
            </w:r>
            <w:permStart w:id="58" w:edGrp="everyone"/>
            <w:r>
              <w:rPr>
                <w:rFonts w:hint="eastAsia" w:ascii="仿宋" w:hAnsi="仿宋" w:eastAsia="仿宋" w:cs="仿宋"/>
                <w:szCs w:val="15"/>
              </w:rPr>
              <w:t>＿＿＿＿</w:t>
            </w:r>
            <w:permEnd w:id="58"/>
            <w:r>
              <w:rPr>
                <w:rFonts w:hint="eastAsia" w:ascii="仿宋" w:hAnsi="仿宋" w:eastAsia="仿宋" w:cs="仿宋"/>
                <w:szCs w:val="15"/>
              </w:rPr>
              <w:t>＿</w:t>
            </w:r>
            <w:r>
              <w:rPr>
                <w:rFonts w:hint="eastAsia" w:ascii="仿宋" w:hAnsi="仿宋" w:eastAsia="仿宋"/>
                <w:szCs w:val="21"/>
              </w:rPr>
              <w:t xml:space="preserve">  </w:t>
            </w:r>
          </w:p>
          <w:p>
            <w:pPr>
              <w:adjustRightInd w:val="0"/>
              <w:snapToGrid w:val="0"/>
              <w:spacing w:line="240" w:lineRule="auto"/>
              <w:jc w:val="left"/>
              <w:rPr>
                <w:rFonts w:ascii="仿宋" w:hAnsi="仿宋" w:eastAsia="仿宋"/>
                <w:szCs w:val="21"/>
              </w:rPr>
            </w:pPr>
            <w:r>
              <w:rPr>
                <w:rFonts w:hint="eastAsia" w:ascii="仿宋" w:hAnsi="仿宋" w:eastAsia="仿宋"/>
                <w:szCs w:val="21"/>
              </w:rPr>
              <w:t>银联云闪付（三合一控件）：</w:t>
            </w:r>
            <w:permStart w:id="59" w:edGrp="everyone"/>
            <w:r>
              <w:rPr>
                <w:rFonts w:hint="eastAsia" w:ascii="仿宋" w:hAnsi="仿宋" w:eastAsia="仿宋" w:cs="仿宋"/>
                <w:szCs w:val="15"/>
              </w:rPr>
              <w:t>＿＿＿＿＿</w:t>
            </w:r>
            <w:permEnd w:id="59"/>
          </w:p>
        </w:tc>
        <w:tc>
          <w:tcPr>
            <w:tcW w:w="2324" w:type="dxa"/>
            <w:gridSpan w:val="2"/>
            <w:vMerge w:val="continue"/>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uto"/>
              <w:jc w:val="left"/>
              <w:rPr>
                <w:rFonts w:ascii="仿宋" w:hAnsi="仿宋" w:eastAsia="仿宋" w:cs="仿宋"/>
                <w:szCs w:val="15"/>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710" w:type="dxa"/>
            <w:vMerge w:val="continue"/>
            <w:tcBorders>
              <w:top w:val="single" w:color="auto" w:sz="4" w:space="0"/>
              <w:left w:val="single" w:color="auto" w:sz="8" w:space="0"/>
              <w:bottom w:val="single" w:color="auto" w:sz="6"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1607" w:type="dxa"/>
            <w:tcBorders>
              <w:top w:val="single" w:color="auto" w:sz="4" w:space="0"/>
              <w:left w:val="single" w:color="auto" w:sz="4" w:space="0"/>
              <w:bottom w:val="single" w:color="auto" w:sz="6"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实名认证</w:t>
            </w:r>
          </w:p>
        </w:tc>
        <w:tc>
          <w:tcPr>
            <w:tcW w:w="6029" w:type="dxa"/>
            <w:gridSpan w:val="11"/>
            <w:tcBorders>
              <w:top w:val="single" w:color="auto" w:sz="4" w:space="0"/>
              <w:left w:val="single" w:color="auto" w:sz="4" w:space="0"/>
              <w:bottom w:val="single" w:color="auto" w:sz="6" w:space="0"/>
              <w:right w:val="single" w:color="auto" w:sz="4" w:space="0"/>
            </w:tcBorders>
            <w:vAlign w:val="center"/>
          </w:tcPr>
          <w:p>
            <w:pPr>
              <w:adjustRightInd w:val="0"/>
              <w:snapToGrid w:val="0"/>
              <w:spacing w:line="240" w:lineRule="auto"/>
              <w:jc w:val="left"/>
              <w:rPr>
                <w:rFonts w:hint="default" w:ascii="仿宋" w:hAnsi="仿宋" w:eastAsia="仿宋" w:cs="仿宋"/>
                <w:szCs w:val="15"/>
                <w:u w:val="single"/>
              </w:rPr>
            </w:pPr>
            <w:permStart w:id="60" w:edGrp="everyone"/>
            <w:r>
              <w:rPr>
                <w:rFonts w:hint="eastAsia" w:ascii="仿宋" w:hAnsi="仿宋" w:eastAsia="仿宋" w:cs="仿宋"/>
                <w:szCs w:val="15"/>
                <w:u w:val="single"/>
                <w:lang w:val="en-US" w:eastAsia="zh-CN"/>
              </w:rPr>
              <w:t xml:space="preserve">                               </w:t>
            </w:r>
            <w:permEnd w:id="60"/>
            <w:r>
              <w:rPr>
                <w:rFonts w:hint="eastAsia" w:ascii="仿宋" w:hAnsi="仿宋" w:eastAsia="仿宋" w:cs="仿宋"/>
                <w:szCs w:val="15"/>
                <w:u w:val="single"/>
                <w:lang w:val="en-US" w:eastAsia="zh-CN"/>
              </w:rPr>
              <w:t xml:space="preserve">        </w:t>
            </w:r>
          </w:p>
        </w:tc>
        <w:tc>
          <w:tcPr>
            <w:tcW w:w="2324" w:type="dxa"/>
            <w:gridSpan w:val="2"/>
            <w:vMerge w:val="continue"/>
            <w:tcBorders>
              <w:top w:val="single" w:color="auto" w:sz="4" w:space="0"/>
              <w:left w:val="single" w:color="auto" w:sz="4" w:space="0"/>
              <w:bottom w:val="single" w:color="auto" w:sz="6" w:space="0"/>
              <w:right w:val="single" w:color="auto" w:sz="8" w:space="0"/>
            </w:tcBorders>
            <w:vAlign w:val="center"/>
          </w:tcPr>
          <w:p>
            <w:pPr>
              <w:adjustRightInd w:val="0"/>
              <w:snapToGrid w:val="0"/>
              <w:spacing w:line="240" w:lineRule="auto"/>
              <w:jc w:val="left"/>
              <w:rPr>
                <w:rFonts w:ascii="仿宋" w:hAnsi="仿宋" w:eastAsia="仿宋" w:cs="仿宋"/>
                <w:szCs w:val="15"/>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10" w:hRule="atLeast"/>
          <w:jc w:val="center"/>
        </w:trPr>
        <w:tc>
          <w:tcPr>
            <w:tcW w:w="710" w:type="dxa"/>
            <w:vMerge w:val="continue"/>
            <w:tcBorders>
              <w:top w:val="single" w:color="auto" w:sz="4" w:space="0"/>
              <w:left w:val="single" w:color="auto" w:sz="8" w:space="0"/>
              <w:bottom w:val="single" w:color="auto" w:sz="6"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1607" w:type="dxa"/>
            <w:tcBorders>
              <w:top w:val="single" w:color="auto" w:sz="4" w:space="0"/>
              <w:left w:val="single" w:color="auto" w:sz="4" w:space="0"/>
              <w:bottom w:val="single" w:color="auto" w:sz="6"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其他业务</w:t>
            </w:r>
          </w:p>
        </w:tc>
        <w:tc>
          <w:tcPr>
            <w:tcW w:w="6029" w:type="dxa"/>
            <w:gridSpan w:val="11"/>
            <w:tcBorders>
              <w:top w:val="single" w:color="auto" w:sz="4" w:space="0"/>
              <w:left w:val="single" w:color="auto" w:sz="4" w:space="0"/>
              <w:bottom w:val="single" w:color="auto" w:sz="6" w:space="0"/>
              <w:right w:val="single" w:color="auto" w:sz="4" w:space="0"/>
            </w:tcBorders>
            <w:vAlign w:val="center"/>
          </w:tcPr>
          <w:p>
            <w:pPr>
              <w:adjustRightInd w:val="0"/>
              <w:snapToGrid w:val="0"/>
              <w:spacing w:line="240" w:lineRule="auto"/>
              <w:jc w:val="left"/>
              <w:rPr>
                <w:rFonts w:hint="default" w:ascii="仿宋" w:hAnsi="仿宋" w:eastAsia="仿宋" w:cs="仿宋"/>
                <w:szCs w:val="15"/>
                <w:u w:val="single"/>
              </w:rPr>
            </w:pPr>
            <w:permStart w:id="61" w:edGrp="everyone"/>
            <w:r>
              <w:rPr>
                <w:rFonts w:hint="eastAsia" w:ascii="仿宋" w:hAnsi="仿宋" w:eastAsia="仿宋" w:cs="仿宋"/>
                <w:szCs w:val="15"/>
                <w:u w:val="single"/>
                <w:lang w:val="en-US" w:eastAsia="zh-CN"/>
              </w:rPr>
              <w:t xml:space="preserve">                               </w:t>
            </w:r>
            <w:permEnd w:id="61"/>
            <w:r>
              <w:rPr>
                <w:rFonts w:hint="eastAsia" w:ascii="仿宋" w:hAnsi="仿宋" w:eastAsia="仿宋" w:cs="仿宋"/>
                <w:szCs w:val="15"/>
                <w:u w:val="single"/>
                <w:lang w:val="en-US" w:eastAsia="zh-CN"/>
              </w:rPr>
              <w:t xml:space="preserve">        </w:t>
            </w:r>
          </w:p>
        </w:tc>
        <w:tc>
          <w:tcPr>
            <w:tcW w:w="2324" w:type="dxa"/>
            <w:gridSpan w:val="2"/>
            <w:vMerge w:val="continue"/>
            <w:tcBorders>
              <w:top w:val="single" w:color="auto" w:sz="4" w:space="0"/>
              <w:left w:val="single" w:color="auto" w:sz="4" w:space="0"/>
              <w:bottom w:val="single" w:color="auto" w:sz="6" w:space="0"/>
              <w:right w:val="single" w:color="auto" w:sz="8" w:space="0"/>
            </w:tcBorders>
            <w:vAlign w:val="center"/>
          </w:tcPr>
          <w:p>
            <w:pPr>
              <w:adjustRightInd w:val="0"/>
              <w:snapToGrid w:val="0"/>
              <w:spacing w:line="240" w:lineRule="auto"/>
              <w:jc w:val="left"/>
              <w:rPr>
                <w:rFonts w:ascii="仿宋" w:hAnsi="仿宋" w:eastAsia="仿宋" w:cs="仿宋"/>
                <w:szCs w:val="15"/>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80" w:hRule="atLeast"/>
          <w:jc w:val="center"/>
        </w:trPr>
        <w:tc>
          <w:tcPr>
            <w:tcW w:w="710"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账户费用</w:t>
            </w:r>
          </w:p>
        </w:tc>
        <w:tc>
          <w:tcPr>
            <w:tcW w:w="7636" w:type="dxa"/>
            <w:gridSpan w:val="12"/>
            <w:tcBorders>
              <w:top w:val="single" w:color="auto" w:sz="6" w:space="0"/>
              <w:left w:val="single" w:color="auto" w:sz="4" w:space="0"/>
              <w:bottom w:val="single" w:color="auto" w:sz="6" w:space="0"/>
              <w:right w:val="single" w:color="auto" w:sz="4" w:space="0"/>
            </w:tcBorders>
            <w:vAlign w:val="center"/>
          </w:tcPr>
          <w:p>
            <w:pPr>
              <w:adjustRightInd w:val="0"/>
              <w:snapToGrid w:val="0"/>
              <w:spacing w:line="240" w:lineRule="auto"/>
              <w:jc w:val="left"/>
              <w:rPr>
                <w:rFonts w:ascii="仿宋" w:hAnsi="仿宋" w:eastAsia="仿宋" w:cs="仿宋"/>
                <w:szCs w:val="15"/>
              </w:rPr>
            </w:pPr>
            <w:r>
              <w:rPr>
                <w:rFonts w:hint="eastAsia" w:ascii="仿宋" w:hAnsi="仿宋" w:eastAsia="仿宋" w:cs="仿宋"/>
                <w:szCs w:val="15"/>
              </w:rPr>
              <w:t>开户：</w:t>
            </w:r>
            <w:permStart w:id="62" w:edGrp="everyone"/>
            <w:r>
              <w:rPr>
                <w:rFonts w:hint="eastAsia" w:ascii="仿宋" w:hAnsi="仿宋" w:eastAsia="仿宋" w:cs="仿宋"/>
                <w:szCs w:val="15"/>
                <w:u w:val="single"/>
              </w:rPr>
              <w:t xml:space="preserve">         </w:t>
            </w:r>
            <w:permEnd w:id="62"/>
            <w:r>
              <w:rPr>
                <w:rFonts w:hint="eastAsia" w:ascii="仿宋" w:hAnsi="仿宋" w:eastAsia="仿宋" w:cs="仿宋"/>
                <w:szCs w:val="15"/>
                <w:lang w:eastAsia="zh-CN"/>
              </w:rPr>
              <w:t>、</w:t>
            </w:r>
            <w:r>
              <w:rPr>
                <w:rFonts w:hint="eastAsia" w:ascii="仿宋" w:hAnsi="仿宋" w:eastAsia="仿宋" w:cs="仿宋"/>
                <w:szCs w:val="15"/>
              </w:rPr>
              <w:t>消费：</w:t>
            </w:r>
            <w:permStart w:id="63" w:edGrp="everyone"/>
            <w:r>
              <w:rPr>
                <w:rFonts w:hint="eastAsia" w:ascii="仿宋" w:hAnsi="仿宋" w:eastAsia="仿宋" w:cs="仿宋"/>
                <w:szCs w:val="15"/>
                <w:u w:val="single"/>
              </w:rPr>
              <w:t xml:space="preserve">        </w:t>
            </w:r>
            <w:permEnd w:id="63"/>
            <w:r>
              <w:rPr>
                <w:rFonts w:hint="eastAsia" w:ascii="仿宋" w:hAnsi="仿宋" w:eastAsia="仿宋" w:cs="仿宋"/>
                <w:szCs w:val="15"/>
              </w:rPr>
              <w:t xml:space="preserve"> </w:t>
            </w:r>
            <w:r>
              <w:rPr>
                <w:rFonts w:hint="eastAsia" w:ascii="仿宋" w:hAnsi="仿宋" w:eastAsia="仿宋" w:cs="仿宋"/>
                <w:szCs w:val="15"/>
                <w:lang w:eastAsia="zh-CN"/>
              </w:rPr>
              <w:t>、</w:t>
            </w:r>
            <w:r>
              <w:rPr>
                <w:rFonts w:hint="eastAsia" w:ascii="仿宋" w:hAnsi="仿宋" w:eastAsia="仿宋" w:cs="仿宋"/>
                <w:szCs w:val="15"/>
              </w:rPr>
              <w:t>转账：</w:t>
            </w:r>
            <w:permStart w:id="64" w:edGrp="everyone"/>
            <w:r>
              <w:rPr>
                <w:rFonts w:hint="eastAsia" w:ascii="仿宋" w:hAnsi="仿宋" w:eastAsia="仿宋" w:cs="仿宋"/>
                <w:szCs w:val="15"/>
                <w:u w:val="single"/>
              </w:rPr>
              <w:t xml:space="preserve">       </w:t>
            </w:r>
            <w:permEnd w:id="64"/>
            <w:r>
              <w:rPr>
                <w:rFonts w:hint="eastAsia" w:ascii="仿宋" w:hAnsi="仿宋" w:eastAsia="仿宋" w:cs="仿宋"/>
                <w:szCs w:val="15"/>
                <w:u w:val="single"/>
              </w:rPr>
              <w:t xml:space="preserve"> </w:t>
            </w:r>
            <w:r>
              <w:rPr>
                <w:rFonts w:hint="eastAsia" w:ascii="仿宋" w:hAnsi="仿宋" w:eastAsia="仿宋" w:cs="仿宋"/>
                <w:szCs w:val="15"/>
                <w:lang w:eastAsia="zh-CN"/>
              </w:rPr>
              <w:t>、</w:t>
            </w:r>
            <w:r>
              <w:rPr>
                <w:rFonts w:hint="eastAsia" w:ascii="仿宋" w:hAnsi="仿宋" w:eastAsia="仿宋" w:cs="仿宋"/>
                <w:szCs w:val="15"/>
              </w:rPr>
              <w:t>提现：</w:t>
            </w:r>
            <w:permStart w:id="65" w:edGrp="everyone"/>
            <w:r>
              <w:rPr>
                <w:rFonts w:hint="eastAsia" w:ascii="仿宋" w:hAnsi="仿宋" w:eastAsia="仿宋" w:cs="仿宋"/>
                <w:szCs w:val="15"/>
              </w:rPr>
              <w:t>＿＿＿＿＿</w:t>
            </w:r>
            <w:permEnd w:id="65"/>
            <w:r>
              <w:rPr>
                <w:rFonts w:hint="eastAsia" w:ascii="仿宋" w:hAnsi="仿宋" w:eastAsia="仿宋" w:cs="仿宋"/>
                <w:szCs w:val="15"/>
              </w:rPr>
              <w:t xml:space="preserve">     </w:t>
            </w:r>
          </w:p>
          <w:p>
            <w:pPr>
              <w:adjustRightInd w:val="0"/>
              <w:snapToGrid w:val="0"/>
              <w:spacing w:line="240" w:lineRule="auto"/>
              <w:jc w:val="left"/>
              <w:rPr>
                <w:rFonts w:hint="default" w:ascii="仿宋" w:hAnsi="仿宋" w:eastAsia="仿宋" w:cs="仿宋"/>
                <w:szCs w:val="15"/>
                <w:u w:val="single"/>
                <w:lang w:val="en-US" w:eastAsia="zh-CN"/>
              </w:rPr>
            </w:pPr>
            <w:r>
              <w:rPr>
                <w:rFonts w:hint="eastAsia" w:ascii="仿宋" w:hAnsi="仿宋" w:eastAsia="仿宋" w:cs="仿宋"/>
                <w:szCs w:val="15"/>
              </w:rPr>
              <w:t>其他：</w:t>
            </w:r>
            <w:permStart w:id="66" w:edGrp="everyone"/>
            <w:r>
              <w:rPr>
                <w:rFonts w:hint="eastAsia" w:ascii="仿宋" w:hAnsi="仿宋" w:eastAsia="仿宋" w:cs="仿宋"/>
                <w:szCs w:val="15"/>
                <w:u w:val="single"/>
                <w:lang w:val="en-US" w:eastAsia="zh-CN"/>
              </w:rPr>
              <w:t xml:space="preserve">            </w:t>
            </w:r>
            <w:permEnd w:id="66"/>
          </w:p>
        </w:tc>
        <w:tc>
          <w:tcPr>
            <w:tcW w:w="2324" w:type="dxa"/>
            <w:gridSpan w:val="2"/>
            <w:vMerge w:val="restart"/>
            <w:tcBorders>
              <w:top w:val="single" w:color="auto" w:sz="6" w:space="0"/>
              <w:left w:val="single" w:color="auto" w:sz="4" w:space="0"/>
              <w:right w:val="single" w:color="auto" w:sz="6" w:space="0"/>
            </w:tcBorders>
            <w:vAlign w:val="center"/>
          </w:tcPr>
          <w:p>
            <w:pPr>
              <w:adjustRightInd w:val="0"/>
              <w:snapToGrid w:val="0"/>
              <w:spacing w:line="240" w:lineRule="auto"/>
              <w:jc w:val="left"/>
              <w:rPr>
                <w:rFonts w:ascii="仿宋" w:hAnsi="仿宋" w:eastAsia="仿宋" w:cs="仿宋"/>
                <w:szCs w:val="15"/>
              </w:rPr>
            </w:pPr>
          </w:p>
          <w:p>
            <w:pPr>
              <w:adjustRightInd w:val="0"/>
              <w:snapToGrid w:val="0"/>
              <w:spacing w:line="240" w:lineRule="auto"/>
              <w:jc w:val="left"/>
              <w:rPr>
                <w:rFonts w:ascii="仿宋" w:hAnsi="仿宋" w:eastAsia="仿宋" w:cs="仿宋"/>
                <w:szCs w:val="15"/>
              </w:rPr>
            </w:pPr>
            <w:r>
              <w:rPr>
                <w:rFonts w:hint="eastAsia" w:ascii="仿宋" w:hAnsi="仿宋" w:eastAsia="仿宋" w:cs="仿宋"/>
                <w:szCs w:val="15"/>
              </w:rPr>
              <w:t>收取方式：</w:t>
            </w:r>
          </w:p>
          <w:p>
            <w:pPr>
              <w:adjustRightInd w:val="0"/>
              <w:snapToGrid w:val="0"/>
              <w:spacing w:line="240" w:lineRule="auto"/>
              <w:jc w:val="left"/>
              <w:rPr>
                <w:rFonts w:ascii="仿宋" w:hAnsi="仿宋" w:eastAsia="仿宋" w:cs="仿宋"/>
                <w:szCs w:val="15"/>
              </w:rPr>
            </w:pPr>
            <w:permStart w:id="67" w:edGrp="everyone"/>
            <w:r>
              <w:rPr>
                <w:rFonts w:hint="eastAsia" w:ascii="仿宋" w:hAnsi="仿宋" w:eastAsia="仿宋" w:cs="仿宋"/>
                <w:szCs w:val="15"/>
              </w:rPr>
              <w:sym w:font="Wingdings" w:char="00A8"/>
            </w:r>
            <w:permEnd w:id="67"/>
            <w:r>
              <w:rPr>
                <w:rFonts w:hint="eastAsia" w:ascii="仿宋" w:hAnsi="仿宋" w:eastAsia="仿宋" w:cs="仿宋"/>
                <w:szCs w:val="15"/>
              </w:rPr>
              <w:t>交易资金中扣收；</w:t>
            </w:r>
          </w:p>
          <w:p>
            <w:pPr>
              <w:adjustRightInd w:val="0"/>
              <w:snapToGrid w:val="0"/>
              <w:spacing w:line="240" w:lineRule="auto"/>
              <w:jc w:val="left"/>
              <w:rPr>
                <w:rFonts w:ascii="仿宋" w:hAnsi="仿宋" w:eastAsia="仿宋" w:cs="仿宋"/>
                <w:szCs w:val="15"/>
              </w:rPr>
            </w:pPr>
            <w:permStart w:id="68" w:edGrp="everyone"/>
            <w:r>
              <w:rPr>
                <w:rFonts w:hint="eastAsia" w:ascii="仿宋" w:hAnsi="仿宋" w:eastAsia="仿宋" w:cs="仿宋"/>
                <w:szCs w:val="15"/>
              </w:rPr>
              <w:sym w:font="Wingdings" w:char="00A8"/>
            </w:r>
            <w:permEnd w:id="68"/>
            <w:r>
              <w:rPr>
                <w:rFonts w:hint="eastAsia" w:ascii="仿宋" w:hAnsi="仿宋" w:eastAsia="仿宋" w:cs="仿宋"/>
                <w:szCs w:val="15"/>
              </w:rPr>
              <w:t>月结；</w:t>
            </w:r>
          </w:p>
          <w:p>
            <w:pPr>
              <w:adjustRightInd w:val="0"/>
              <w:snapToGrid w:val="0"/>
              <w:spacing w:line="240" w:lineRule="auto"/>
              <w:jc w:val="left"/>
              <w:rPr>
                <w:rFonts w:ascii="仿宋" w:hAnsi="仿宋" w:eastAsia="仿宋" w:cs="仿宋"/>
                <w:szCs w:val="15"/>
              </w:rPr>
            </w:pPr>
            <w:permStart w:id="69" w:edGrp="everyone"/>
            <w:r>
              <w:rPr>
                <w:rFonts w:hint="eastAsia" w:ascii="仿宋" w:hAnsi="仿宋" w:eastAsia="仿宋" w:cs="仿宋"/>
                <w:szCs w:val="15"/>
              </w:rPr>
              <w:sym w:font="Wingdings" w:char="00A8"/>
            </w:r>
            <w:permEnd w:id="69"/>
            <w:r>
              <w:rPr>
                <w:rFonts w:hint="eastAsia" w:ascii="仿宋" w:hAnsi="仿宋" w:eastAsia="仿宋" w:cs="仿宋"/>
                <w:szCs w:val="15"/>
              </w:rPr>
              <w:t>手续费预充；</w:t>
            </w:r>
          </w:p>
          <w:p>
            <w:pPr>
              <w:adjustRightInd w:val="0"/>
              <w:snapToGrid w:val="0"/>
              <w:spacing w:line="240" w:lineRule="auto"/>
              <w:jc w:val="left"/>
              <w:rPr>
                <w:rFonts w:ascii="仿宋" w:hAnsi="仿宋" w:eastAsia="仿宋" w:cs="仿宋"/>
                <w:sz w:val="18"/>
                <w:szCs w:val="15"/>
              </w:rPr>
            </w:pPr>
            <w:permStart w:id="70" w:edGrp="everyone"/>
            <w:r>
              <w:rPr>
                <w:rFonts w:hint="eastAsia" w:ascii="仿宋" w:hAnsi="仿宋" w:eastAsia="仿宋" w:cs="仿宋"/>
                <w:szCs w:val="15"/>
              </w:rPr>
              <w:sym w:font="Wingdings" w:char="00A8"/>
            </w:r>
            <w:permEnd w:id="70"/>
            <w:r>
              <w:rPr>
                <w:rFonts w:hint="eastAsia" w:ascii="仿宋" w:hAnsi="仿宋" w:eastAsia="仿宋" w:cs="仿宋"/>
                <w:szCs w:val="15"/>
              </w:rPr>
              <w:t>其他</w:t>
            </w:r>
            <w:permStart w:id="71" w:edGrp="everyone"/>
            <w:r>
              <w:rPr>
                <w:rFonts w:hint="eastAsia" w:ascii="仿宋" w:hAnsi="仿宋" w:eastAsia="仿宋" w:cs="仿宋"/>
                <w:szCs w:val="15"/>
              </w:rPr>
              <w:t>＿</w:t>
            </w:r>
            <w:permEnd w:id="71"/>
            <w:r>
              <w:rPr>
                <w:rFonts w:hint="eastAsia" w:ascii="仿宋" w:hAnsi="仿宋" w:eastAsia="仿宋" w:cs="仿宋"/>
                <w:szCs w:val="15"/>
              </w:rPr>
              <w:t>＿</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26" w:hRule="atLeast"/>
          <w:jc w:val="center"/>
        </w:trPr>
        <w:tc>
          <w:tcPr>
            <w:tcW w:w="710"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快速结算费</w:t>
            </w:r>
          </w:p>
        </w:tc>
        <w:tc>
          <w:tcPr>
            <w:tcW w:w="7636" w:type="dxa"/>
            <w:gridSpan w:val="12"/>
            <w:tcBorders>
              <w:top w:val="single" w:color="auto" w:sz="6" w:space="0"/>
              <w:left w:val="single" w:color="auto" w:sz="4" w:space="0"/>
              <w:bottom w:val="single" w:color="auto" w:sz="6" w:space="0"/>
              <w:right w:val="single" w:color="auto" w:sz="4" w:space="0"/>
            </w:tcBorders>
            <w:vAlign w:val="center"/>
          </w:tcPr>
          <w:p>
            <w:pPr>
              <w:adjustRightInd w:val="0"/>
              <w:snapToGrid w:val="0"/>
              <w:spacing w:line="240" w:lineRule="auto"/>
              <w:jc w:val="left"/>
              <w:rPr>
                <w:rFonts w:ascii="仿宋" w:hAnsi="仿宋" w:eastAsia="仿宋" w:cs="仿宋"/>
                <w:szCs w:val="15"/>
              </w:rPr>
            </w:pPr>
          </w:p>
          <w:p>
            <w:pPr>
              <w:adjustRightInd w:val="0"/>
              <w:snapToGrid w:val="0"/>
              <w:spacing w:line="240" w:lineRule="auto"/>
              <w:jc w:val="left"/>
              <w:rPr>
                <w:rFonts w:hint="default" w:ascii="仿宋" w:hAnsi="仿宋" w:eastAsia="仿宋" w:cs="仿宋"/>
                <w:szCs w:val="15"/>
                <w:u w:val="single"/>
              </w:rPr>
            </w:pPr>
            <w:permStart w:id="72" w:edGrp="everyone"/>
            <w:r>
              <w:rPr>
                <w:rFonts w:hint="eastAsia" w:ascii="仿宋" w:hAnsi="仿宋" w:eastAsia="仿宋" w:cs="仿宋"/>
                <w:szCs w:val="15"/>
                <w:u w:val="single"/>
                <w:lang w:val="en-US" w:eastAsia="zh-CN"/>
              </w:rPr>
              <w:t xml:space="preserve">                                                 </w:t>
            </w:r>
            <w:permEnd w:id="72"/>
            <w:r>
              <w:rPr>
                <w:rFonts w:hint="eastAsia" w:ascii="仿宋" w:hAnsi="仿宋" w:eastAsia="仿宋" w:cs="仿宋"/>
                <w:szCs w:val="15"/>
                <w:u w:val="single"/>
                <w:lang w:val="en-US" w:eastAsia="zh-CN"/>
              </w:rPr>
              <w:t xml:space="preserve"> </w:t>
            </w:r>
          </w:p>
          <w:p>
            <w:pPr>
              <w:adjustRightInd w:val="0"/>
              <w:snapToGrid w:val="0"/>
              <w:spacing w:line="240" w:lineRule="auto"/>
              <w:jc w:val="left"/>
              <w:rPr>
                <w:rFonts w:ascii="仿宋" w:hAnsi="仿宋" w:eastAsia="仿宋" w:cs="仿宋"/>
                <w:szCs w:val="15"/>
              </w:rPr>
            </w:pPr>
          </w:p>
        </w:tc>
        <w:tc>
          <w:tcPr>
            <w:tcW w:w="2324" w:type="dxa"/>
            <w:gridSpan w:val="2"/>
            <w:vMerge w:val="continue"/>
            <w:tcBorders>
              <w:left w:val="single" w:color="auto" w:sz="4" w:space="0"/>
              <w:bottom w:val="single" w:color="auto" w:sz="6" w:space="0"/>
              <w:right w:val="single" w:color="auto" w:sz="6" w:space="0"/>
            </w:tcBorders>
            <w:vAlign w:val="center"/>
          </w:tcPr>
          <w:p>
            <w:pPr>
              <w:adjustRightInd w:val="0"/>
              <w:snapToGrid w:val="0"/>
              <w:spacing w:line="240" w:lineRule="auto"/>
              <w:jc w:val="left"/>
              <w:rPr>
                <w:rFonts w:ascii="仿宋" w:hAnsi="仿宋" w:eastAsia="仿宋" w:cs="仿宋"/>
                <w:sz w:val="18"/>
                <w:szCs w:val="15"/>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 w:hRule="atLeast"/>
          <w:jc w:val="center"/>
        </w:trPr>
        <w:tc>
          <w:tcPr>
            <w:tcW w:w="710" w:type="dxa"/>
            <w:vMerge w:val="restart"/>
            <w:tcBorders>
              <w:top w:val="single" w:color="auto" w:sz="6"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其他费用</w:t>
            </w:r>
          </w:p>
        </w:tc>
        <w:tc>
          <w:tcPr>
            <w:tcW w:w="5140" w:type="dxa"/>
            <w:gridSpan w:val="7"/>
            <w:tcBorders>
              <w:top w:val="single" w:color="auto" w:sz="6" w:space="0"/>
              <w:left w:val="single" w:color="auto" w:sz="4" w:space="0"/>
              <w:bottom w:val="single" w:color="auto" w:sz="4" w:space="0"/>
              <w:right w:val="single" w:color="auto" w:sz="4" w:space="0"/>
            </w:tcBorders>
            <w:vAlign w:val="center"/>
          </w:tcPr>
          <w:p>
            <w:pPr>
              <w:adjustRightInd w:val="0"/>
              <w:snapToGrid w:val="0"/>
              <w:spacing w:line="240" w:lineRule="auto"/>
              <w:jc w:val="left"/>
              <w:rPr>
                <w:rFonts w:hint="default" w:ascii="仿宋" w:hAnsi="仿宋" w:eastAsia="仿宋" w:cs="仿宋"/>
                <w:szCs w:val="15"/>
                <w:u w:val="single"/>
              </w:rPr>
            </w:pPr>
            <w:r>
              <w:rPr>
                <w:rFonts w:hint="eastAsia" w:ascii="仿宋" w:hAnsi="仿宋" w:eastAsia="仿宋" w:cs="仿宋"/>
                <w:szCs w:val="15"/>
              </w:rPr>
              <w:t>接入费：</w:t>
            </w:r>
            <w:permStart w:id="73" w:edGrp="everyone"/>
            <w:r>
              <w:rPr>
                <w:rFonts w:hint="eastAsia" w:ascii="仿宋" w:hAnsi="仿宋" w:eastAsia="仿宋" w:cs="仿宋"/>
                <w:szCs w:val="15"/>
                <w:u w:val="single"/>
                <w:lang w:val="en-US" w:eastAsia="zh-CN"/>
              </w:rPr>
              <w:t xml:space="preserve">                           </w:t>
            </w:r>
            <w:permEnd w:id="73"/>
            <w:r>
              <w:rPr>
                <w:rFonts w:hint="eastAsia" w:ascii="仿宋" w:hAnsi="仿宋" w:eastAsia="仿宋" w:cs="仿宋"/>
                <w:szCs w:val="15"/>
                <w:u w:val="single"/>
                <w:lang w:val="en-US" w:eastAsia="zh-CN"/>
              </w:rPr>
              <w:t xml:space="preserve">  </w:t>
            </w:r>
          </w:p>
        </w:tc>
        <w:tc>
          <w:tcPr>
            <w:tcW w:w="4820" w:type="dxa"/>
            <w:gridSpan w:val="7"/>
            <w:tcBorders>
              <w:top w:val="single" w:color="auto" w:sz="6" w:space="0"/>
              <w:left w:val="single" w:color="auto" w:sz="4" w:space="0"/>
              <w:bottom w:val="single" w:color="auto" w:sz="4" w:space="0"/>
              <w:right w:val="single" w:color="auto" w:sz="8" w:space="0"/>
            </w:tcBorders>
            <w:vAlign w:val="center"/>
          </w:tcPr>
          <w:p>
            <w:pPr>
              <w:adjustRightInd w:val="0"/>
              <w:snapToGrid w:val="0"/>
              <w:spacing w:line="240" w:lineRule="auto"/>
              <w:jc w:val="left"/>
              <w:rPr>
                <w:rFonts w:hint="default" w:ascii="仿宋" w:hAnsi="仿宋" w:eastAsia="仿宋" w:cs="仿宋"/>
                <w:szCs w:val="21"/>
                <w:u w:val="single"/>
              </w:rPr>
            </w:pPr>
            <w:r>
              <w:rPr>
                <w:rFonts w:hint="eastAsia" w:ascii="仿宋" w:hAnsi="仿宋" w:eastAsia="仿宋" w:cs="仿宋"/>
                <w:szCs w:val="15"/>
              </w:rPr>
              <w:t>系统年费：</w:t>
            </w:r>
            <w:permStart w:id="74" w:edGrp="everyone"/>
            <w:r>
              <w:rPr>
                <w:rFonts w:hint="eastAsia" w:ascii="仿宋" w:hAnsi="仿宋" w:eastAsia="仿宋" w:cs="仿宋"/>
                <w:szCs w:val="15"/>
                <w:u w:val="single"/>
                <w:lang w:val="en-US" w:eastAsia="zh-CN"/>
              </w:rPr>
              <w:t xml:space="preserve">               </w:t>
            </w:r>
            <w:permEnd w:id="74"/>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 w:hRule="atLeast"/>
          <w:jc w:val="center"/>
        </w:trPr>
        <w:tc>
          <w:tcPr>
            <w:tcW w:w="710" w:type="dxa"/>
            <w:vMerge w:val="continue"/>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5140"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jc w:val="left"/>
              <w:rPr>
                <w:rFonts w:hint="default" w:ascii="仿宋" w:hAnsi="仿宋" w:eastAsia="仿宋" w:cs="仿宋"/>
                <w:szCs w:val="15"/>
                <w:u w:val="single"/>
              </w:rPr>
            </w:pPr>
            <w:r>
              <w:rPr>
                <w:rFonts w:hint="eastAsia" w:ascii="仿宋" w:hAnsi="仿宋" w:eastAsia="仿宋" w:cs="仿宋"/>
                <w:szCs w:val="15"/>
              </w:rPr>
              <w:t>技术服务费：</w:t>
            </w:r>
            <w:permStart w:id="75" w:edGrp="everyone"/>
            <w:r>
              <w:rPr>
                <w:rFonts w:hint="eastAsia" w:ascii="仿宋" w:hAnsi="仿宋" w:eastAsia="仿宋" w:cs="仿宋"/>
                <w:szCs w:val="15"/>
                <w:u w:val="single"/>
                <w:lang w:val="en-US" w:eastAsia="zh-CN"/>
              </w:rPr>
              <w:t xml:space="preserve">                       </w:t>
            </w:r>
            <w:permEnd w:id="75"/>
            <w:r>
              <w:rPr>
                <w:rFonts w:hint="eastAsia" w:ascii="仿宋" w:hAnsi="仿宋" w:eastAsia="仿宋" w:cs="仿宋"/>
                <w:szCs w:val="15"/>
                <w:u w:val="single"/>
                <w:lang w:val="en-US" w:eastAsia="zh-CN"/>
              </w:rPr>
              <w:t xml:space="preserve">  </w:t>
            </w:r>
          </w:p>
        </w:tc>
        <w:tc>
          <w:tcPr>
            <w:tcW w:w="4820" w:type="dxa"/>
            <w:gridSpan w:val="7"/>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uto"/>
              <w:jc w:val="left"/>
              <w:rPr>
                <w:rFonts w:hint="default" w:ascii="仿宋" w:hAnsi="仿宋" w:eastAsia="仿宋" w:cs="仿宋"/>
                <w:szCs w:val="15"/>
                <w:u w:val="single"/>
              </w:rPr>
            </w:pPr>
            <w:r>
              <w:rPr>
                <w:rFonts w:hint="eastAsia" w:ascii="仿宋" w:hAnsi="仿宋" w:eastAsia="仿宋" w:cs="仿宋"/>
                <w:szCs w:val="15"/>
              </w:rPr>
              <w:t>其他：</w:t>
            </w:r>
            <w:permStart w:id="76" w:edGrp="everyone"/>
            <w:r>
              <w:rPr>
                <w:rFonts w:hint="eastAsia" w:ascii="仿宋" w:hAnsi="仿宋" w:eastAsia="仿宋" w:cs="仿宋"/>
                <w:szCs w:val="15"/>
                <w:u w:val="single"/>
                <w:lang w:val="en-US" w:eastAsia="zh-CN"/>
              </w:rPr>
              <w:t xml:space="preserve">                   </w:t>
            </w:r>
            <w:permEnd w:id="76"/>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 w:hRule="atLeast"/>
          <w:jc w:val="center"/>
        </w:trPr>
        <w:tc>
          <w:tcPr>
            <w:tcW w:w="710" w:type="dxa"/>
            <w:vMerge w:val="continue"/>
            <w:tcBorders>
              <w:top w:val="single" w:color="auto" w:sz="4" w:space="0"/>
              <w:left w:val="single" w:color="auto" w:sz="8" w:space="0"/>
              <w:bottom w:val="single" w:color="auto" w:sz="6"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9960" w:type="dxa"/>
            <w:gridSpan w:val="14"/>
            <w:tcBorders>
              <w:top w:val="single" w:color="auto" w:sz="4" w:space="0"/>
              <w:left w:val="single" w:color="auto" w:sz="4" w:space="0"/>
              <w:bottom w:val="single" w:color="auto" w:sz="6" w:space="0"/>
              <w:right w:val="single" w:color="auto" w:sz="8" w:space="0"/>
            </w:tcBorders>
            <w:vAlign w:val="center"/>
          </w:tcPr>
          <w:p>
            <w:pPr>
              <w:adjustRightInd w:val="0"/>
              <w:snapToGrid w:val="0"/>
              <w:spacing w:line="240" w:lineRule="auto"/>
              <w:jc w:val="left"/>
              <w:rPr>
                <w:rFonts w:hint="default" w:ascii="仿宋" w:hAnsi="仿宋" w:eastAsia="仿宋" w:cs="仿宋"/>
                <w:szCs w:val="15"/>
                <w:u w:val="single"/>
              </w:rPr>
            </w:pPr>
            <w:r>
              <w:rPr>
                <w:rFonts w:hint="eastAsia" w:ascii="仿宋" w:hAnsi="仿宋" w:eastAsia="仿宋" w:cs="仿宋"/>
                <w:szCs w:val="15"/>
              </w:rPr>
              <w:t>业务保证金：</w:t>
            </w:r>
            <w:permStart w:id="77" w:edGrp="everyone"/>
            <w:r>
              <w:rPr>
                <w:rFonts w:hint="eastAsia" w:ascii="仿宋" w:hAnsi="仿宋" w:eastAsia="仿宋" w:cs="仿宋"/>
                <w:szCs w:val="15"/>
                <w:u w:val="single"/>
                <w:lang w:val="en-US" w:eastAsia="zh-CN"/>
              </w:rPr>
              <w:t xml:space="preserve">                       </w:t>
            </w:r>
            <w:permEnd w:id="77"/>
            <w:r>
              <w:rPr>
                <w:rFonts w:hint="eastAsia" w:ascii="仿宋" w:hAnsi="仿宋" w:eastAsia="仿宋" w:cs="仿宋"/>
                <w:szCs w:val="15"/>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 w:hRule="atLeast"/>
          <w:jc w:val="center"/>
        </w:trPr>
        <w:tc>
          <w:tcPr>
            <w:tcW w:w="710" w:type="dxa"/>
            <w:vMerge w:val="restart"/>
            <w:tcBorders>
              <w:top w:val="single" w:color="auto" w:sz="6" w:space="0"/>
              <w:left w:val="single" w:color="auto" w:sz="6"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收款账户</w:t>
            </w:r>
          </w:p>
        </w:tc>
        <w:tc>
          <w:tcPr>
            <w:tcW w:w="1722" w:type="dxa"/>
            <w:gridSpan w:val="2"/>
            <w:tcBorders>
              <w:top w:val="single" w:color="auto" w:sz="6"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highlight w:val="yellow"/>
              </w:rPr>
            </w:pPr>
            <w:r>
              <w:rPr>
                <w:rFonts w:hint="eastAsia" w:ascii="仿宋" w:hAnsi="仿宋" w:eastAsia="仿宋" w:cs="仿宋"/>
                <w:b/>
                <w:bCs/>
                <w:szCs w:val="15"/>
              </w:rPr>
              <w:t>账户用途</w:t>
            </w:r>
          </w:p>
        </w:tc>
        <w:tc>
          <w:tcPr>
            <w:tcW w:w="2766" w:type="dxa"/>
            <w:gridSpan w:val="3"/>
            <w:tcBorders>
              <w:top w:val="single" w:color="auto" w:sz="6" w:space="0"/>
              <w:left w:val="single" w:color="auto" w:sz="4" w:space="0"/>
              <w:bottom w:val="single" w:color="auto" w:sz="4" w:space="0"/>
              <w:right w:val="single" w:color="auto" w:sz="4" w:space="0"/>
            </w:tcBorders>
            <w:vAlign w:val="center"/>
          </w:tcPr>
          <w:p>
            <w:pPr>
              <w:adjustRightInd w:val="0"/>
              <w:snapToGrid w:val="0"/>
              <w:spacing w:line="240" w:lineRule="auto"/>
              <w:rPr>
                <w:rFonts w:ascii="仿宋" w:hAnsi="仿宋" w:eastAsia="仿宋" w:cs="仿宋"/>
                <w:b/>
                <w:bCs/>
                <w:szCs w:val="15"/>
              </w:rPr>
            </w:pPr>
            <w:r>
              <w:rPr>
                <w:rFonts w:hint="eastAsia" w:ascii="仿宋" w:hAnsi="仿宋" w:eastAsia="仿宋" w:cs="仿宋"/>
                <w:b/>
                <w:bCs/>
                <w:szCs w:val="15"/>
              </w:rPr>
              <w:t>账户名称</w:t>
            </w:r>
          </w:p>
        </w:tc>
        <w:tc>
          <w:tcPr>
            <w:tcW w:w="2877" w:type="dxa"/>
            <w:gridSpan w:val="5"/>
            <w:tcBorders>
              <w:top w:val="single" w:color="auto" w:sz="6" w:space="0"/>
              <w:left w:val="single" w:color="auto" w:sz="4"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b/>
                <w:bCs/>
                <w:szCs w:val="15"/>
              </w:rPr>
            </w:pPr>
            <w:r>
              <w:rPr>
                <w:rFonts w:hint="eastAsia" w:ascii="仿宋" w:hAnsi="仿宋" w:eastAsia="仿宋" w:cs="仿宋"/>
                <w:b/>
                <w:bCs/>
                <w:szCs w:val="15"/>
              </w:rPr>
              <w:t>开户银行</w:t>
            </w:r>
          </w:p>
        </w:tc>
        <w:tc>
          <w:tcPr>
            <w:tcW w:w="2595" w:type="dxa"/>
            <w:gridSpan w:val="4"/>
            <w:tcBorders>
              <w:top w:val="single" w:color="auto" w:sz="6" w:space="0"/>
              <w:left w:val="single" w:color="auto" w:sz="4" w:space="0"/>
              <w:bottom w:val="single" w:color="auto" w:sz="4" w:space="0"/>
              <w:right w:val="single" w:color="auto" w:sz="6" w:space="0"/>
            </w:tcBorders>
            <w:vAlign w:val="center"/>
          </w:tcPr>
          <w:p>
            <w:pPr>
              <w:adjustRightInd w:val="0"/>
              <w:snapToGrid w:val="0"/>
              <w:spacing w:line="240" w:lineRule="auto"/>
              <w:jc w:val="center"/>
              <w:rPr>
                <w:rFonts w:ascii="仿宋" w:hAnsi="仿宋" w:eastAsia="仿宋" w:cs="仿宋"/>
                <w:b/>
                <w:bCs/>
                <w:szCs w:val="15"/>
              </w:rPr>
            </w:pPr>
            <w:r>
              <w:rPr>
                <w:rFonts w:hint="eastAsia" w:ascii="仿宋" w:hAnsi="仿宋" w:eastAsia="仿宋" w:cs="仿宋"/>
                <w:b/>
                <w:bCs/>
                <w:szCs w:val="15"/>
              </w:rPr>
              <w:t>银行账号</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 w:hRule="atLeast"/>
          <w:jc w:val="center"/>
        </w:trPr>
        <w:tc>
          <w:tcPr>
            <w:tcW w:w="710" w:type="dxa"/>
            <w:vMerge w:val="continue"/>
            <w:tcBorders>
              <w:top w:val="single" w:color="auto" w:sz="4" w:space="0"/>
              <w:left w:val="single" w:color="auto" w:sz="6" w:space="0"/>
              <w:bottom w:val="single" w:color="auto" w:sz="6"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1722" w:type="dxa"/>
            <w:gridSpan w:val="2"/>
            <w:tcBorders>
              <w:top w:val="single" w:color="auto" w:sz="4" w:space="0"/>
              <w:left w:val="single" w:color="auto" w:sz="4" w:space="0"/>
              <w:bottom w:val="single" w:color="auto" w:sz="6" w:space="0"/>
              <w:right w:val="single" w:color="auto" w:sz="4" w:space="0"/>
            </w:tcBorders>
            <w:vAlign w:val="center"/>
          </w:tcPr>
          <w:p>
            <w:pPr>
              <w:adjustRightInd w:val="0"/>
              <w:snapToGrid w:val="0"/>
              <w:spacing w:line="240" w:lineRule="auto"/>
              <w:jc w:val="center"/>
              <w:rPr>
                <w:rFonts w:ascii="仿宋" w:hAnsi="仿宋" w:eastAsia="仿宋" w:cs="仿宋"/>
                <w:szCs w:val="15"/>
                <w:highlight w:val="yellow"/>
              </w:rPr>
            </w:pPr>
            <w:r>
              <w:rPr>
                <w:rFonts w:hint="eastAsia" w:ascii="仿宋" w:hAnsi="仿宋" w:eastAsia="仿宋" w:cs="仿宋"/>
                <w:szCs w:val="15"/>
              </w:rPr>
              <w:t>收取其他费用</w:t>
            </w:r>
          </w:p>
        </w:tc>
        <w:tc>
          <w:tcPr>
            <w:tcW w:w="2766" w:type="dxa"/>
            <w:gridSpan w:val="3"/>
            <w:tcBorders>
              <w:top w:val="single" w:color="auto" w:sz="4" w:space="0"/>
              <w:left w:val="single" w:color="auto" w:sz="4" w:space="0"/>
              <w:bottom w:val="single" w:color="auto" w:sz="6" w:space="0"/>
              <w:right w:val="single" w:color="auto" w:sz="4" w:space="0"/>
            </w:tcBorders>
            <w:vAlign w:val="center"/>
          </w:tcPr>
          <w:p>
            <w:pPr>
              <w:adjustRightInd w:val="0"/>
              <w:snapToGrid w:val="0"/>
              <w:spacing w:line="240" w:lineRule="auto"/>
              <w:jc w:val="left"/>
              <w:rPr>
                <w:rFonts w:ascii="仿宋" w:hAnsi="仿宋" w:eastAsia="仿宋" w:cs="仿宋"/>
                <w:szCs w:val="15"/>
                <w:highlight w:val="yellow"/>
              </w:rPr>
            </w:pPr>
            <w:r>
              <w:rPr>
                <w:rFonts w:hint="eastAsia" w:ascii="仿宋" w:hAnsi="仿宋" w:eastAsia="仿宋" w:cs="仿宋"/>
                <w:szCs w:val="15"/>
              </w:rPr>
              <w:t>银盛支付服务股份有限公司</w:t>
            </w:r>
          </w:p>
        </w:tc>
        <w:tc>
          <w:tcPr>
            <w:tcW w:w="2877" w:type="dxa"/>
            <w:gridSpan w:val="5"/>
            <w:tcBorders>
              <w:top w:val="single" w:color="auto" w:sz="4" w:space="0"/>
              <w:left w:val="single" w:color="auto" w:sz="4" w:space="0"/>
              <w:bottom w:val="single" w:color="auto" w:sz="6" w:space="0"/>
              <w:right w:val="single" w:color="auto" w:sz="4" w:space="0"/>
            </w:tcBorders>
            <w:vAlign w:val="center"/>
          </w:tcPr>
          <w:p>
            <w:pPr>
              <w:adjustRightInd w:val="0"/>
              <w:snapToGrid w:val="0"/>
              <w:spacing w:line="240" w:lineRule="auto"/>
              <w:jc w:val="left"/>
              <w:rPr>
                <w:rFonts w:ascii="仿宋" w:hAnsi="仿宋" w:eastAsia="仿宋" w:cs="仿宋"/>
                <w:szCs w:val="21"/>
              </w:rPr>
            </w:pPr>
            <w:r>
              <w:rPr>
                <w:rFonts w:hint="eastAsia" w:ascii="仿宋" w:hAnsi="仿宋" w:eastAsia="仿宋" w:cs="仿宋"/>
                <w:szCs w:val="15"/>
              </w:rPr>
              <w:t>中国工商银行深圳</w:t>
            </w:r>
            <w:r>
              <w:rPr>
                <w:rFonts w:hint="eastAsia" w:ascii="仿宋" w:hAnsi="仿宋" w:eastAsia="仿宋" w:cs="仿宋"/>
                <w:szCs w:val="15"/>
                <w:lang w:val="en-US" w:eastAsia="zh-CN"/>
              </w:rPr>
              <w:t>深港科创</w:t>
            </w:r>
            <w:r>
              <w:rPr>
                <w:rFonts w:hint="eastAsia" w:ascii="仿宋" w:hAnsi="仿宋" w:eastAsia="仿宋" w:cs="仿宋"/>
                <w:szCs w:val="15"/>
              </w:rPr>
              <w:t>支行</w:t>
            </w:r>
          </w:p>
        </w:tc>
        <w:tc>
          <w:tcPr>
            <w:tcW w:w="2595" w:type="dxa"/>
            <w:gridSpan w:val="4"/>
            <w:tcBorders>
              <w:top w:val="single" w:color="auto" w:sz="4" w:space="0"/>
              <w:left w:val="single" w:color="auto" w:sz="4" w:space="0"/>
              <w:bottom w:val="single" w:color="auto" w:sz="6" w:space="0"/>
              <w:right w:val="single" w:color="auto" w:sz="6" w:space="0"/>
            </w:tcBorders>
            <w:vAlign w:val="center"/>
          </w:tcPr>
          <w:p>
            <w:pPr>
              <w:adjustRightInd w:val="0"/>
              <w:snapToGrid w:val="0"/>
              <w:spacing w:line="240" w:lineRule="auto"/>
              <w:jc w:val="left"/>
              <w:rPr>
                <w:rFonts w:ascii="仿宋" w:hAnsi="仿宋" w:eastAsia="仿宋" w:cs="仿宋"/>
                <w:szCs w:val="15"/>
                <w:highlight w:val="yellow"/>
              </w:rPr>
            </w:pPr>
            <w:r>
              <w:rPr>
                <w:rFonts w:hint="eastAsia" w:ascii="仿宋" w:hAnsi="仿宋" w:eastAsia="仿宋" w:cs="仿宋"/>
                <w:szCs w:val="21"/>
              </w:rPr>
              <w:t>4000 0296 1920 0124 045</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7" w:hRule="atLeast"/>
          <w:jc w:val="center"/>
        </w:trPr>
        <w:tc>
          <w:tcPr>
            <w:tcW w:w="710" w:type="dxa"/>
            <w:vMerge w:val="restart"/>
            <w:tcBorders>
              <w:top w:val="single" w:color="auto" w:sz="6"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r>
              <w:rPr>
                <w:rFonts w:hint="eastAsia" w:ascii="仿宋" w:hAnsi="仿宋" w:eastAsia="仿宋" w:cs="仿宋"/>
                <w:szCs w:val="15"/>
              </w:rPr>
              <w:t>服务单位</w:t>
            </w:r>
          </w:p>
        </w:tc>
        <w:tc>
          <w:tcPr>
            <w:tcW w:w="4488" w:type="dxa"/>
            <w:gridSpan w:val="5"/>
            <w:tcBorders>
              <w:top w:val="single" w:color="auto" w:sz="6"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服务商（分公司）名称：</w:t>
            </w:r>
            <w:permStart w:id="78" w:edGrp="everyone"/>
            <w:r>
              <w:rPr>
                <w:rFonts w:hint="eastAsia" w:ascii="仿宋" w:hAnsi="仿宋" w:eastAsia="仿宋" w:cs="仿宋"/>
                <w:szCs w:val="15"/>
                <w:u w:val="single"/>
                <w:lang w:val="en-US" w:eastAsia="zh-CN"/>
              </w:rPr>
              <w:t xml:space="preserve">           </w:t>
            </w:r>
            <w:permEnd w:id="78"/>
            <w:r>
              <w:rPr>
                <w:rFonts w:hint="eastAsia" w:ascii="仿宋" w:hAnsi="仿宋" w:eastAsia="仿宋" w:cs="仿宋"/>
                <w:szCs w:val="15"/>
                <w:u w:val="single"/>
                <w:lang w:val="en-US" w:eastAsia="zh-CN"/>
              </w:rPr>
              <w:t xml:space="preserve"> </w:t>
            </w:r>
          </w:p>
        </w:tc>
        <w:tc>
          <w:tcPr>
            <w:tcW w:w="2877" w:type="dxa"/>
            <w:gridSpan w:val="5"/>
            <w:tcBorders>
              <w:top w:val="single" w:color="auto" w:sz="6"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责任经理：</w:t>
            </w:r>
            <w:permStart w:id="79" w:edGrp="everyone"/>
            <w:r>
              <w:rPr>
                <w:rFonts w:hint="eastAsia" w:ascii="仿宋" w:hAnsi="仿宋" w:eastAsia="仿宋" w:cs="仿宋"/>
                <w:szCs w:val="15"/>
                <w:u w:val="single"/>
                <w:lang w:val="en-US" w:eastAsia="zh-CN"/>
              </w:rPr>
              <w:t xml:space="preserve">           </w:t>
            </w:r>
            <w:permEnd w:id="79"/>
            <w:r>
              <w:rPr>
                <w:rFonts w:hint="eastAsia" w:ascii="仿宋" w:hAnsi="仿宋" w:eastAsia="仿宋" w:cs="仿宋"/>
                <w:szCs w:val="15"/>
                <w:u w:val="single"/>
                <w:lang w:val="en-US" w:eastAsia="zh-CN"/>
              </w:rPr>
              <w:t xml:space="preserve"> </w:t>
            </w:r>
          </w:p>
        </w:tc>
        <w:tc>
          <w:tcPr>
            <w:tcW w:w="2595" w:type="dxa"/>
            <w:gridSpan w:val="4"/>
            <w:vMerge w:val="restart"/>
            <w:tcBorders>
              <w:top w:val="single" w:color="auto" w:sz="6" w:space="0"/>
              <w:left w:val="single" w:color="auto" w:sz="4" w:space="0"/>
              <w:bottom w:val="single" w:color="auto" w:sz="4" w:space="0"/>
              <w:right w:val="single" w:color="auto" w:sz="8" w:space="0"/>
            </w:tcBorders>
            <w:vAlign w:val="center"/>
          </w:tcPr>
          <w:p>
            <w:pPr>
              <w:adjustRightInd w:val="0"/>
              <w:snapToGrid w:val="0"/>
              <w:spacing w:line="240" w:lineRule="auto"/>
              <w:rPr>
                <w:rFonts w:ascii="仿宋" w:hAnsi="仿宋" w:eastAsia="仿宋" w:cs="仿宋"/>
                <w:szCs w:val="15"/>
              </w:rPr>
            </w:pPr>
            <w:r>
              <w:rPr>
                <w:rFonts w:hint="eastAsia" w:ascii="仿宋" w:hAnsi="仿宋" w:eastAsia="仿宋" w:cs="仿宋"/>
                <w:b/>
                <w:bCs/>
                <w:szCs w:val="15"/>
              </w:rPr>
              <w:t>服务商签章</w:t>
            </w:r>
            <w:r>
              <w:rPr>
                <w:rFonts w:hint="eastAsia" w:ascii="仿宋" w:hAnsi="仿宋" w:eastAsia="仿宋" w:cs="仿宋"/>
                <w:szCs w:val="15"/>
              </w:rPr>
              <w:t>：</w:t>
            </w:r>
          </w:p>
          <w:p>
            <w:pPr>
              <w:adjustRightInd w:val="0"/>
              <w:snapToGrid w:val="0"/>
              <w:spacing w:line="240" w:lineRule="auto"/>
              <w:rPr>
                <w:rFonts w:ascii="仿宋" w:hAnsi="仿宋" w:eastAsia="仿宋" w:cs="仿宋"/>
                <w:szCs w:val="15"/>
              </w:rPr>
            </w:pPr>
            <w:r>
              <w:rPr>
                <w:rFonts w:hint="eastAsia" w:ascii="仿宋" w:hAnsi="仿宋" w:eastAsia="仿宋" w:cs="仿宋"/>
                <w:szCs w:val="15"/>
              </w:rPr>
              <w:t xml:space="preserve"> </w:t>
            </w:r>
            <w:permStart w:id="80" w:edGrp="everyone"/>
            <w:r>
              <w:rPr>
                <w:rFonts w:hint="eastAsia" w:ascii="仿宋" w:hAnsi="仿宋" w:eastAsia="仿宋" w:cs="仿宋"/>
                <w:szCs w:val="15"/>
                <w:u w:val="single"/>
              </w:rPr>
              <w:t xml:space="preserve">     </w:t>
            </w:r>
            <w:r>
              <w:rPr>
                <w:rFonts w:hint="eastAsia" w:ascii="仿宋" w:hAnsi="仿宋" w:eastAsia="仿宋" w:cs="仿宋"/>
                <w:szCs w:val="15"/>
              </w:rPr>
              <w:t>年</w:t>
            </w:r>
            <w:r>
              <w:rPr>
                <w:rFonts w:hint="eastAsia" w:ascii="仿宋" w:hAnsi="仿宋" w:eastAsia="仿宋" w:cs="仿宋"/>
                <w:szCs w:val="15"/>
                <w:u w:val="single"/>
              </w:rPr>
              <w:t xml:space="preserve">   </w:t>
            </w:r>
            <w:r>
              <w:rPr>
                <w:rFonts w:hint="eastAsia" w:ascii="仿宋" w:hAnsi="仿宋" w:eastAsia="仿宋" w:cs="仿宋"/>
                <w:szCs w:val="15"/>
              </w:rPr>
              <w:t>月</w:t>
            </w:r>
            <w:r>
              <w:rPr>
                <w:rFonts w:hint="eastAsia" w:ascii="仿宋" w:hAnsi="仿宋" w:eastAsia="仿宋" w:cs="仿宋"/>
                <w:szCs w:val="15"/>
                <w:u w:val="single"/>
              </w:rPr>
              <w:t xml:space="preserve">   </w:t>
            </w:r>
            <w:permEnd w:id="80"/>
            <w:r>
              <w:rPr>
                <w:rFonts w:hint="eastAsia" w:ascii="仿宋" w:hAnsi="仿宋" w:eastAsia="仿宋" w:cs="仿宋"/>
                <w:szCs w:val="15"/>
              </w:rPr>
              <w:t>日</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7" w:hRule="atLeast"/>
          <w:jc w:val="center"/>
        </w:trPr>
        <w:tc>
          <w:tcPr>
            <w:tcW w:w="710" w:type="dxa"/>
            <w:vMerge w:val="continue"/>
            <w:tcBorders>
              <w:top w:val="single" w:color="auto" w:sz="4" w:space="0"/>
              <w:left w:val="single" w:color="auto" w:sz="8" w:space="0"/>
              <w:bottom w:val="single" w:color="auto" w:sz="4"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4488"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服务商（分公司）编号：</w:t>
            </w:r>
            <w:permStart w:id="81" w:edGrp="everyone"/>
            <w:r>
              <w:rPr>
                <w:rFonts w:hint="eastAsia" w:ascii="仿宋" w:hAnsi="仿宋" w:eastAsia="仿宋" w:cs="仿宋"/>
                <w:szCs w:val="15"/>
                <w:u w:val="single"/>
                <w:lang w:val="en-US" w:eastAsia="zh-CN"/>
              </w:rPr>
              <w:t xml:space="preserve">           </w:t>
            </w:r>
            <w:permEnd w:id="81"/>
            <w:r>
              <w:rPr>
                <w:rFonts w:hint="eastAsia" w:ascii="仿宋" w:hAnsi="仿宋" w:eastAsia="仿宋" w:cs="仿宋"/>
                <w:szCs w:val="15"/>
                <w:u w:val="single"/>
                <w:lang w:val="en-US" w:eastAsia="zh-CN"/>
              </w:rPr>
              <w:t xml:space="preserve"> </w:t>
            </w:r>
          </w:p>
        </w:tc>
        <w:tc>
          <w:tcPr>
            <w:tcW w:w="2877"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auto"/>
              <w:rPr>
                <w:rFonts w:hint="default" w:ascii="仿宋" w:hAnsi="仿宋" w:eastAsia="仿宋" w:cs="仿宋"/>
                <w:szCs w:val="15"/>
                <w:u w:val="single"/>
              </w:rPr>
            </w:pPr>
            <w:r>
              <w:rPr>
                <w:rFonts w:hint="eastAsia" w:ascii="仿宋" w:hAnsi="仿宋" w:eastAsia="仿宋" w:cs="仿宋"/>
                <w:szCs w:val="15"/>
              </w:rPr>
              <w:t>拓展经理：</w:t>
            </w:r>
            <w:permStart w:id="82" w:edGrp="everyone"/>
            <w:r>
              <w:rPr>
                <w:rFonts w:hint="eastAsia" w:ascii="仿宋" w:hAnsi="仿宋" w:eastAsia="仿宋" w:cs="仿宋"/>
                <w:szCs w:val="15"/>
                <w:u w:val="single"/>
                <w:lang w:val="en-US" w:eastAsia="zh-CN"/>
              </w:rPr>
              <w:t xml:space="preserve">           </w:t>
            </w:r>
            <w:permEnd w:id="82"/>
            <w:r>
              <w:rPr>
                <w:rFonts w:hint="eastAsia" w:ascii="仿宋" w:hAnsi="仿宋" w:eastAsia="仿宋" w:cs="仿宋"/>
                <w:szCs w:val="15"/>
                <w:u w:val="single"/>
                <w:lang w:val="en-US" w:eastAsia="zh-CN"/>
              </w:rPr>
              <w:t xml:space="preserve"> </w:t>
            </w:r>
          </w:p>
        </w:tc>
        <w:tc>
          <w:tcPr>
            <w:tcW w:w="2595" w:type="dxa"/>
            <w:gridSpan w:val="4"/>
            <w:vMerge w:val="continue"/>
            <w:tcBorders>
              <w:top w:val="single" w:color="auto" w:sz="4" w:space="0"/>
              <w:left w:val="single" w:color="auto" w:sz="4" w:space="0"/>
              <w:bottom w:val="single" w:color="auto" w:sz="4" w:space="0"/>
              <w:right w:val="single" w:color="auto" w:sz="8" w:space="0"/>
            </w:tcBorders>
            <w:vAlign w:val="center"/>
          </w:tcPr>
          <w:p>
            <w:pPr>
              <w:adjustRightInd w:val="0"/>
              <w:snapToGrid w:val="0"/>
              <w:spacing w:line="240" w:lineRule="auto"/>
              <w:rPr>
                <w:rFonts w:ascii="仿宋" w:hAnsi="仿宋" w:eastAsia="仿宋" w:cs="仿宋"/>
                <w:szCs w:val="15"/>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7" w:hRule="atLeast"/>
          <w:jc w:val="center"/>
        </w:trPr>
        <w:tc>
          <w:tcPr>
            <w:tcW w:w="710" w:type="dxa"/>
            <w:vMerge w:val="continue"/>
            <w:tcBorders>
              <w:top w:val="single" w:color="auto" w:sz="4" w:space="0"/>
              <w:left w:val="single" w:color="auto" w:sz="8" w:space="0"/>
              <w:bottom w:val="single" w:color="auto" w:sz="8" w:space="0"/>
              <w:right w:val="single" w:color="auto" w:sz="4" w:space="0"/>
            </w:tcBorders>
            <w:vAlign w:val="center"/>
          </w:tcPr>
          <w:p>
            <w:pPr>
              <w:adjustRightInd w:val="0"/>
              <w:snapToGrid w:val="0"/>
              <w:spacing w:line="240" w:lineRule="auto"/>
              <w:jc w:val="center"/>
              <w:rPr>
                <w:rFonts w:ascii="仿宋" w:hAnsi="仿宋" w:eastAsia="仿宋" w:cs="仿宋"/>
                <w:szCs w:val="15"/>
              </w:rPr>
            </w:pPr>
          </w:p>
        </w:tc>
        <w:tc>
          <w:tcPr>
            <w:tcW w:w="4488" w:type="dxa"/>
            <w:gridSpan w:val="5"/>
            <w:tcBorders>
              <w:top w:val="single" w:color="auto" w:sz="4" w:space="0"/>
              <w:left w:val="single" w:color="auto" w:sz="4" w:space="0"/>
              <w:bottom w:val="single" w:color="auto" w:sz="8" w:space="0"/>
              <w:right w:val="single" w:color="auto" w:sz="4" w:space="0"/>
            </w:tcBorders>
            <w:vAlign w:val="center"/>
          </w:tcPr>
          <w:p>
            <w:pPr>
              <w:adjustRightInd w:val="0"/>
              <w:snapToGrid w:val="0"/>
              <w:spacing w:line="240" w:lineRule="auto"/>
              <w:rPr>
                <w:rFonts w:ascii="仿宋" w:hAnsi="仿宋" w:eastAsia="仿宋" w:cs="仿宋"/>
                <w:szCs w:val="15"/>
              </w:rPr>
            </w:pPr>
            <w:r>
              <w:rPr>
                <w:rFonts w:hint="eastAsia" w:ascii="仿宋" w:hAnsi="仿宋" w:eastAsia="仿宋" w:cs="仿宋"/>
                <w:szCs w:val="15"/>
              </w:rPr>
              <w:t>乙方总部客服电话：</w:t>
            </w:r>
            <w:r>
              <w:rPr>
                <w:rFonts w:hint="eastAsia" w:ascii="仿宋" w:hAnsi="仿宋" w:eastAsia="仿宋" w:cs="仿宋"/>
                <w:b/>
                <w:bCs/>
                <w:sz w:val="18"/>
                <w:szCs w:val="18"/>
              </w:rPr>
              <w:t xml:space="preserve"> 1010-8989</w:t>
            </w:r>
          </w:p>
        </w:tc>
        <w:tc>
          <w:tcPr>
            <w:tcW w:w="2877" w:type="dxa"/>
            <w:gridSpan w:val="5"/>
            <w:tcBorders>
              <w:top w:val="single" w:color="auto" w:sz="4" w:space="0"/>
              <w:left w:val="single" w:color="auto" w:sz="4" w:space="0"/>
              <w:bottom w:val="single" w:color="auto" w:sz="8" w:space="0"/>
              <w:right w:val="single" w:color="auto" w:sz="4" w:space="0"/>
            </w:tcBorders>
            <w:vAlign w:val="center"/>
          </w:tcPr>
          <w:p>
            <w:pPr>
              <w:adjustRightInd w:val="0"/>
              <w:snapToGrid w:val="0"/>
              <w:spacing w:line="240" w:lineRule="auto"/>
              <w:rPr>
                <w:rFonts w:ascii="仿宋" w:hAnsi="仿宋" w:eastAsia="仿宋" w:cs="仿宋"/>
                <w:szCs w:val="15"/>
              </w:rPr>
            </w:pPr>
            <w:r>
              <w:rPr>
                <w:rFonts w:hint="eastAsia" w:ascii="仿宋" w:hAnsi="仿宋" w:eastAsia="仿宋" w:cs="仿宋"/>
                <w:szCs w:val="15"/>
              </w:rPr>
              <w:t>本地客服电话：</w:t>
            </w:r>
            <w:permStart w:id="83" w:edGrp="everyone"/>
            <w:r>
              <w:rPr>
                <w:rFonts w:hint="eastAsia" w:ascii="仿宋" w:hAnsi="仿宋" w:eastAsia="仿宋" w:cs="仿宋"/>
                <w:szCs w:val="15"/>
              </w:rPr>
              <w:t>＿＿＿＿＿</w:t>
            </w:r>
            <w:permEnd w:id="83"/>
            <w:r>
              <w:rPr>
                <w:rFonts w:hint="eastAsia" w:ascii="仿宋" w:hAnsi="仿宋" w:eastAsia="仿宋" w:cs="仿宋"/>
                <w:szCs w:val="15"/>
              </w:rPr>
              <w:t>＿</w:t>
            </w:r>
          </w:p>
        </w:tc>
        <w:tc>
          <w:tcPr>
            <w:tcW w:w="2595" w:type="dxa"/>
            <w:gridSpan w:val="4"/>
            <w:vMerge w:val="continue"/>
            <w:tcBorders>
              <w:top w:val="single" w:color="auto" w:sz="4" w:space="0"/>
              <w:left w:val="single" w:color="auto" w:sz="4" w:space="0"/>
              <w:bottom w:val="single" w:color="auto" w:sz="8" w:space="0"/>
              <w:right w:val="single" w:color="auto" w:sz="8" w:space="0"/>
            </w:tcBorders>
            <w:vAlign w:val="center"/>
          </w:tcPr>
          <w:p>
            <w:pPr>
              <w:adjustRightInd w:val="0"/>
              <w:snapToGrid w:val="0"/>
              <w:spacing w:line="240" w:lineRule="auto"/>
              <w:rPr>
                <w:rFonts w:ascii="仿宋" w:hAnsi="仿宋" w:eastAsia="仿宋" w:cs="仿宋"/>
                <w:szCs w:val="15"/>
              </w:rPr>
            </w:pPr>
          </w:p>
        </w:tc>
      </w:tr>
    </w:tbl>
    <w:p>
      <w:pPr>
        <w:adjustRightInd w:val="0"/>
        <w:snapToGrid w:val="0"/>
        <w:spacing w:line="240" w:lineRule="auto"/>
        <w:ind w:firstLine="361" w:firstLineChars="200"/>
        <w:rPr>
          <w:rFonts w:ascii="仿宋" w:hAnsi="仿宋" w:eastAsia="仿宋" w:cs="仿宋"/>
          <w:b/>
          <w:bCs/>
          <w:color w:val="000000" w:themeColor="text1"/>
          <w:sz w:val="18"/>
          <w:szCs w:val="18"/>
          <w:u w:val="single"/>
          <w14:textFill>
            <w14:solidFill>
              <w14:schemeClr w14:val="tx1"/>
            </w14:solidFill>
          </w14:textFill>
        </w:rPr>
      </w:pPr>
      <w:r>
        <w:rPr>
          <w:rFonts w:hint="eastAsia" w:ascii="仿宋" w:hAnsi="仿宋" w:eastAsia="仿宋" w:cs="仿宋"/>
          <w:b/>
          <w:bCs/>
          <w:color w:val="000000" w:themeColor="text1"/>
          <w:sz w:val="18"/>
          <w:szCs w:val="18"/>
          <w:u w:val="single"/>
          <w14:textFill>
            <w14:solidFill>
              <w14:schemeClr w14:val="tx1"/>
            </w14:solidFill>
          </w14:textFill>
        </w:rPr>
        <w:t>甲方承诺（盖章确认）：本表所填写内容</w:t>
      </w:r>
      <w:r>
        <w:rPr>
          <w:rFonts w:hint="eastAsia" w:ascii="仿宋" w:hAnsi="仿宋" w:eastAsia="仿宋" w:cs="仿宋"/>
          <w:b/>
          <w:bCs/>
          <w:color w:val="000000" w:themeColor="text1"/>
          <w:sz w:val="18"/>
          <w:szCs w:val="18"/>
          <w:u w:val="single"/>
          <w:lang w:val="en-US" w:eastAsia="zh-CN"/>
          <w14:textFill>
            <w14:solidFill>
              <w14:schemeClr w14:val="tx1"/>
            </w14:solidFill>
          </w14:textFill>
        </w:rPr>
        <w:t>自愿、</w:t>
      </w:r>
      <w:r>
        <w:rPr>
          <w:rFonts w:hint="eastAsia" w:ascii="仿宋" w:hAnsi="仿宋" w:eastAsia="仿宋" w:cs="仿宋"/>
          <w:b/>
          <w:bCs/>
          <w:color w:val="000000" w:themeColor="text1"/>
          <w:sz w:val="18"/>
          <w:szCs w:val="18"/>
          <w:u w:val="single"/>
          <w14:textFill>
            <w14:solidFill>
              <w14:schemeClr w14:val="tx1"/>
            </w14:solidFill>
          </w14:textFill>
        </w:rPr>
        <w:t>真实、完整、有效，同意乙方通过相关途径核查上述信息资料的真实性、合法性、有效性。乙方已提请甲方注意对本协议项下各条款（特别是加粗标示条款）作全面、准确的理解，并应甲方要求作了相应说明。</w:t>
      </w:r>
    </w:p>
    <w:p>
      <w:pPr>
        <w:snapToGrid w:val="0"/>
        <w:spacing w:line="240" w:lineRule="auto"/>
        <w:ind w:firstLine="361" w:firstLineChars="200"/>
        <w:rPr>
          <w:rFonts w:ascii="仿宋" w:hAnsi="仿宋" w:eastAsia="仿宋" w:cs="仿宋"/>
          <w:b/>
          <w:bCs/>
          <w:color w:val="000000" w:themeColor="text1"/>
          <w:sz w:val="18"/>
          <w:szCs w:val="18"/>
          <w:u w:val="single"/>
          <w14:textFill>
            <w14:solidFill>
              <w14:schemeClr w14:val="tx1"/>
            </w14:solidFill>
          </w14:textFill>
        </w:rPr>
      </w:pPr>
      <w:r>
        <w:rPr>
          <w:rFonts w:hint="eastAsia" w:ascii="仿宋" w:hAnsi="仿宋" w:eastAsia="仿宋" w:cs="仿宋"/>
          <w:b/>
          <w:bCs/>
          <w:color w:val="000000" w:themeColor="text1"/>
          <w:sz w:val="18"/>
          <w:szCs w:val="18"/>
          <w:u w:val="single"/>
          <w14:textFill>
            <w14:solidFill>
              <w14:schemeClr w14:val="tx1"/>
            </w14:solidFill>
          </w14:textFill>
        </w:rPr>
        <w:t>甲方充分知晓并清楚出租、出借、出售、购买支付账户的相关法律责任和惩戒措施，承诺依法依规开立和使用甲方支付账户。</w:t>
      </w:r>
    </w:p>
    <w:p>
      <w:pPr>
        <w:snapToGrid w:val="0"/>
        <w:spacing w:line="240" w:lineRule="auto"/>
        <w:ind w:firstLine="361" w:firstLineChars="200"/>
        <w:rPr>
          <w:rFonts w:ascii="仿宋" w:hAnsi="仿宋" w:eastAsia="仿宋" w:cs="仿宋"/>
          <w:b/>
          <w:bCs/>
          <w:color w:val="000000" w:themeColor="text1"/>
          <w:sz w:val="18"/>
          <w:szCs w:val="18"/>
          <w14:textFill>
            <w14:solidFill>
              <w14:schemeClr w14:val="tx1"/>
            </w14:solidFill>
          </w14:textFill>
        </w:rPr>
      </w:pPr>
      <w:r>
        <w:rPr>
          <w:rFonts w:hint="eastAsia" w:ascii="仿宋" w:hAnsi="仿宋" w:eastAsia="仿宋" w:cs="仿宋"/>
          <w:b/>
          <w:bCs/>
          <w:color w:val="000000" w:themeColor="text1"/>
          <w:sz w:val="18"/>
          <w:szCs w:val="18"/>
          <w:u w:val="single"/>
          <w14:textFill>
            <w14:solidFill>
              <w14:schemeClr w14:val="tx1"/>
            </w14:solidFill>
          </w14:textFill>
        </w:rPr>
        <w:t>甲方充分知晓并清晰理解支付账户所记录的资金余额不同于甲方本人的银行存款，不受《存款保险条例》保护，其实质为甲方委托乙方保管的、所有权归属于甲方的预付价值。该预付价值对应的货币资金虽然属于甲方，但不以甲方本人名义存放在中国人民银行客户备付金集中存管账户，而是以乙方名义存放在中国人民银行客户备付金集中存管账户，并且由乙方通过清算机构向中国人民银行发起资金调拨指令。</w:t>
      </w:r>
    </w:p>
    <w:p>
      <w:pPr>
        <w:snapToGrid w:val="0"/>
        <w:spacing w:line="240" w:lineRule="auto"/>
        <w:rPr>
          <w:rFonts w:ascii="仿宋" w:hAnsi="仿宋" w:eastAsia="仿宋" w:cs="仿宋"/>
          <w:b/>
          <w:bCs/>
          <w:sz w:val="18"/>
          <w:szCs w:val="18"/>
          <w:u w:val="single"/>
        </w:rPr>
      </w:pPr>
    </w:p>
    <w:p>
      <w:pPr>
        <w:adjustRightInd w:val="0"/>
        <w:snapToGrid w:val="0"/>
        <w:spacing w:line="240" w:lineRule="auto"/>
        <w:ind w:firstLine="360" w:firstLineChars="200"/>
        <w:rPr>
          <w:rFonts w:hint="eastAsia" w:ascii="仿宋" w:hAnsi="仿宋" w:eastAsia="仿宋" w:cs="仿宋"/>
          <w:sz w:val="18"/>
          <w:szCs w:val="18"/>
        </w:rPr>
        <w:sectPr>
          <w:headerReference r:id="rId4" w:type="first"/>
          <w:footerReference r:id="rId6" w:type="first"/>
          <w:headerReference r:id="rId3" w:type="default"/>
          <w:footerReference r:id="rId5" w:type="default"/>
          <w:pgSz w:w="11906" w:h="16838"/>
          <w:pgMar w:top="873" w:right="856" w:bottom="873" w:left="856" w:header="57" w:footer="482" w:gutter="0"/>
          <w:pgNumType w:start="1"/>
          <w:cols w:space="0" w:num="1"/>
          <w:titlePg/>
          <w:docGrid w:type="lines" w:linePitch="312" w:charSpace="0"/>
        </w:sectPr>
      </w:pPr>
    </w:p>
    <w:p>
      <w:pPr>
        <w:adjustRightInd w:val="0"/>
        <w:snapToGrid w:val="0"/>
        <w:spacing w:line="240" w:lineRule="auto"/>
        <w:ind w:firstLine="361" w:firstLineChars="200"/>
        <w:rPr>
          <w:rFonts w:hint="default" w:ascii="仿宋" w:hAnsi="仿宋" w:eastAsia="仿宋" w:cs="仿宋"/>
          <w:b/>
          <w:bCs/>
          <w:sz w:val="18"/>
          <w:szCs w:val="18"/>
          <w:lang w:val="en-US" w:eastAsia="zh-CN"/>
        </w:rPr>
      </w:pPr>
      <w:r>
        <w:rPr>
          <w:rFonts w:hint="eastAsia" w:ascii="仿宋" w:hAnsi="仿宋" w:eastAsia="仿宋" w:cs="仿宋"/>
          <w:b/>
          <w:bCs/>
          <w:sz w:val="18"/>
          <w:szCs w:val="18"/>
        </w:rPr>
        <w:t>甲方（特约商户）和乙方（收单机构）经友好协商，本着平等、自愿和共赢的原则，就乙方</w:t>
      </w:r>
      <w:r>
        <w:rPr>
          <w:rFonts w:hint="eastAsia" w:ascii="仿宋" w:hAnsi="仿宋" w:eastAsia="仿宋" w:cs="仿宋"/>
          <w:b/>
          <w:bCs/>
          <w:sz w:val="18"/>
          <w:szCs w:val="18"/>
          <w:lang w:val="en-US" w:eastAsia="zh-CN"/>
        </w:rPr>
        <w:t>通过支付服务平台</w:t>
      </w:r>
      <w:r>
        <w:rPr>
          <w:rFonts w:hint="eastAsia" w:ascii="仿宋" w:hAnsi="仿宋" w:eastAsia="仿宋" w:cs="仿宋"/>
          <w:b/>
          <w:bCs/>
          <w:sz w:val="18"/>
          <w:szCs w:val="18"/>
        </w:rPr>
        <w:t>为甲方提供网络支付服务达成本协议，并承诺共同遵守。</w:t>
      </w:r>
      <w:r>
        <w:rPr>
          <w:rFonts w:hint="eastAsia" w:ascii="仿宋" w:hAnsi="仿宋" w:eastAsia="仿宋" w:cs="仿宋"/>
          <w:b/>
          <w:bCs/>
          <w:sz w:val="18"/>
          <w:szCs w:val="18"/>
          <w:lang w:val="en-US" w:eastAsia="zh-CN"/>
        </w:rPr>
        <w:t>在签署本协议之前，甲方应仔细阅读并充分理解本协议全部内容，慎重选择是否接受本协议全部条款，一旦甲方勾选或提交签署本协议即视为甲方已充分理解本协议全部条款含义及对应法律后果。</w:t>
      </w:r>
    </w:p>
    <w:p>
      <w:pPr>
        <w:adjustRightInd w:val="0"/>
        <w:snapToGrid w:val="0"/>
        <w:spacing w:line="240" w:lineRule="auto"/>
        <w:ind w:firstLine="360" w:firstLineChars="200"/>
        <w:rPr>
          <w:rFonts w:ascii="仿宋" w:hAnsi="仿宋" w:eastAsia="仿宋" w:cs="仿宋"/>
          <w:sz w:val="18"/>
          <w:szCs w:val="18"/>
        </w:rPr>
      </w:pP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术语定义</w:t>
      </w:r>
    </w:p>
    <w:p>
      <w:pPr>
        <w:adjustRightInd w:val="0"/>
        <w:snapToGrid w:val="0"/>
        <w:spacing w:line="240" w:lineRule="auto"/>
        <w:ind w:firstLine="360" w:firstLineChars="200"/>
        <w:rPr>
          <w:rFonts w:ascii="仿宋" w:hAnsi="仿宋" w:eastAsia="仿宋" w:cs="仿宋"/>
          <w:sz w:val="18"/>
          <w:szCs w:val="18"/>
          <w:highlight w:val="yellow"/>
        </w:rPr>
      </w:pPr>
      <w:r>
        <w:rPr>
          <w:rFonts w:hint="eastAsia" w:ascii="仿宋" w:hAnsi="仿宋" w:eastAsia="仿宋" w:cs="仿宋"/>
          <w:sz w:val="18"/>
          <w:szCs w:val="18"/>
        </w:rPr>
        <w:t>1.1“特约商户”是指基于互联网、移动互联网等网络信息系统与用户进行商品或服务及其他交易，并接受收单机构网络支付服务完成资金结算的法人、其他组织或自然人。</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1.2“收单机构”是指经监管机构批准从事支付业务，为特约商户提供交易受理并完成资金结算服务的金融机构以及有资质的专业机构，包括从事银行卡收单业务的银行业金融机构和获得支付业务许可证的支付机构。</w:t>
      </w:r>
    </w:p>
    <w:p>
      <w:pPr>
        <w:adjustRightInd w:val="0"/>
        <w:snapToGrid w:val="0"/>
        <w:spacing w:line="240" w:lineRule="auto"/>
        <w:ind w:firstLine="360" w:firstLineChars="200"/>
        <w:rPr>
          <w:rFonts w:ascii="仿宋" w:hAnsi="仿宋" w:eastAsia="仿宋" w:cs="仿宋"/>
          <w:sz w:val="18"/>
          <w:szCs w:val="18"/>
          <w:highlight w:val="yellow"/>
        </w:rPr>
      </w:pPr>
      <w:r>
        <w:rPr>
          <w:rFonts w:hint="eastAsia" w:ascii="仿宋" w:hAnsi="仿宋" w:eastAsia="仿宋" w:cs="仿宋"/>
          <w:sz w:val="18"/>
          <w:szCs w:val="18"/>
        </w:rPr>
        <w:t>1.3“网络支付服务”是指收单机构为特约商户通过互联网或移动互联网进行的商品或服务及其他交易（包括但不限于网上商城、APP、手机网页、公众号、小程序等场景的交易）提供网上支付和资金结算服务。</w:t>
      </w:r>
    </w:p>
    <w:p>
      <w:pPr>
        <w:adjustRightInd w:val="0"/>
        <w:snapToGrid w:val="0"/>
        <w:spacing w:line="240" w:lineRule="auto"/>
        <w:ind w:firstLine="360" w:firstLineChars="200"/>
        <w:rPr>
          <w:rFonts w:ascii="仿宋" w:hAnsi="仿宋" w:eastAsia="仿宋" w:cs="仿宋"/>
          <w:sz w:val="18"/>
          <w:szCs w:val="18"/>
          <w:highlight w:val="yellow"/>
        </w:rPr>
      </w:pPr>
      <w:r>
        <w:rPr>
          <w:rFonts w:hint="eastAsia" w:ascii="仿宋" w:hAnsi="仿宋" w:eastAsia="仿宋" w:cs="仿宋"/>
          <w:sz w:val="18"/>
          <w:szCs w:val="18"/>
        </w:rPr>
        <w:t>1.4“用户”是指与特约商户发生商品、服务或其他交易关系，并通过收单机构进行资金收付的自然人、法人或其他组织。</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1.5“开户机构”是指通过卡组织开展银行卡发卡业务的银行和为用户开立支付账户的支付机构，以及提供融资与支付一体化产品（如花呗）的服务机构。</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1.6“银行卡”是指按照卡组织（包括但不限于：银联、VISA、MasterCard、American Express、Dinners Club和JCB）的业务、技术标准发行，卡面带有相应卡组织标识，发卡方标识代码（BIN号）</w:t>
      </w:r>
      <w:r>
        <w:rPr>
          <w:rFonts w:hint="eastAsia" w:ascii="仿宋" w:hAnsi="仿宋" w:eastAsia="仿宋" w:cs="仿宋"/>
          <w:sz w:val="18"/>
          <w:szCs w:val="18"/>
          <w:lang w:eastAsia="zh-CN"/>
        </w:rPr>
        <w:t>，</w:t>
      </w:r>
      <w:r>
        <w:rPr>
          <w:rFonts w:hint="eastAsia" w:ascii="仿宋" w:hAnsi="仿宋" w:eastAsia="仿宋" w:cs="仿宋"/>
          <w:sz w:val="18"/>
          <w:szCs w:val="18"/>
        </w:rPr>
        <w:t>经卡组织分配或确认的卡片。根据发卡机构所属中国境内和境外（含香港、澳门及台湾）不同，可分为境内卡和境外卡；根据卡组织不同，可分为银联卡和国际卡。</w:t>
      </w:r>
    </w:p>
    <w:p>
      <w:pPr>
        <w:adjustRightInd w:val="0"/>
        <w:snapToGrid w:val="0"/>
        <w:spacing w:line="240" w:lineRule="auto"/>
        <w:ind w:firstLine="360" w:firstLineChars="200"/>
        <w:rPr>
          <w:rFonts w:ascii="仿宋" w:hAnsi="仿宋" w:eastAsia="仿宋" w:cs="仿宋"/>
          <w:sz w:val="18"/>
          <w:szCs w:val="18"/>
          <w:highlight w:val="yellow"/>
        </w:rPr>
      </w:pPr>
      <w:r>
        <w:rPr>
          <w:rFonts w:hint="eastAsia" w:ascii="仿宋" w:hAnsi="仿宋" w:eastAsia="仿宋" w:cs="仿宋"/>
          <w:sz w:val="18"/>
          <w:szCs w:val="18"/>
        </w:rPr>
        <w:t>1.7“支付账户”是指获得互联网支付业务许可的支付机构、根据客户的真实意愿为其开立的，用于记录预付交易资金余额、客户凭以发起支付指令、反映交易明细信息的电子簿记，如微信零钱、支付宝余额、银盛账户。</w:t>
      </w:r>
    </w:p>
    <w:p>
      <w:pPr>
        <w:pStyle w:val="13"/>
        <w:ind w:firstLine="360" w:firstLineChars="200"/>
        <w:rPr>
          <w:rFonts w:ascii="仿宋" w:hAnsi="仿宋" w:eastAsia="仿宋" w:cs="仿宋"/>
          <w:sz w:val="18"/>
          <w:szCs w:val="18"/>
        </w:rPr>
      </w:pPr>
      <w:r>
        <w:rPr>
          <w:rFonts w:hint="eastAsia" w:ascii="仿宋" w:hAnsi="仿宋" w:eastAsia="仿宋" w:cs="仿宋"/>
          <w:sz w:val="18"/>
          <w:szCs w:val="18"/>
        </w:rPr>
        <w:t xml:space="preserve">1.8“账户信息”是指银行卡、支付账户中记录的所有信息以及与支付交易相关的用户身份验证信息。记录在银行卡上的账户信息包括卡号、卡片有效期、磁道信息（含芯片等效磁道信息）、卡片验证码（CVN及CVN2）等信息；与支付交易相关的用户身份验证信息包括个人标识代码(PIN)、网上业务、电话银行、手机银行等业务中的用户注册名、登录密码、支付密码、真实姓名、证件号码、手机号码、动态验证码、生物特征等信息。 </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1.9“交易手续费”是指特约商户就网络支付服务向开户机构、交易转接机构和收单机构等各服务提供方支付（由收单机构一并收取）的费用。</w:t>
      </w:r>
    </w:p>
    <w:p>
      <w:pPr>
        <w:pStyle w:val="13"/>
        <w:ind w:firstLine="360" w:firstLineChars="200"/>
        <w:rPr>
          <w:rFonts w:ascii="仿宋" w:hAnsi="仿宋" w:eastAsia="仿宋" w:cs="仿宋"/>
          <w:sz w:val="18"/>
          <w:szCs w:val="18"/>
        </w:rPr>
      </w:pPr>
      <w:r>
        <w:rPr>
          <w:rFonts w:hint="eastAsia" w:ascii="仿宋" w:hAnsi="仿宋" w:eastAsia="仿宋" w:cs="仿宋"/>
          <w:sz w:val="18"/>
          <w:szCs w:val="18"/>
        </w:rPr>
        <w:t>1.10“快速结算费”是指特约商户</w:t>
      </w:r>
      <w:r>
        <w:rPr>
          <w:rFonts w:hint="eastAsia" w:ascii="仿宋" w:hAnsi="仿宋" w:eastAsia="仿宋" w:cs="仿宋"/>
          <w:color w:val="000000" w:themeColor="text1"/>
          <w:sz w:val="18"/>
          <w:szCs w:val="18"/>
          <w14:textFill>
            <w14:solidFill>
              <w14:schemeClr w14:val="tx1"/>
            </w14:solidFill>
          </w14:textFill>
        </w:rPr>
        <w:t>就“交易日当日结算”或“交易日次日结算”等</w:t>
      </w:r>
      <w:r>
        <w:rPr>
          <w:rFonts w:hint="eastAsia" w:ascii="仿宋" w:hAnsi="仿宋" w:eastAsia="仿宋" w:cs="仿宋"/>
          <w:sz w:val="18"/>
          <w:szCs w:val="18"/>
        </w:rPr>
        <w:t>结算周期的快速结算服务向收单机构支付的除交易手续费外的服务费用。</w:t>
      </w:r>
    </w:p>
    <w:p>
      <w:pPr>
        <w:pStyle w:val="13"/>
        <w:ind w:firstLine="360" w:firstLineChars="200"/>
        <w:rPr>
          <w:rFonts w:ascii="仿宋" w:hAnsi="仿宋" w:eastAsia="仿宋" w:cs="仿宋"/>
          <w:sz w:val="18"/>
          <w:szCs w:val="18"/>
        </w:rPr>
      </w:pPr>
      <w:r>
        <w:rPr>
          <w:rFonts w:hint="eastAsia" w:ascii="仿宋" w:hAnsi="仿宋" w:eastAsia="仿宋" w:cs="仿宋"/>
          <w:sz w:val="18"/>
          <w:szCs w:val="18"/>
        </w:rPr>
        <w:t>1.11“调单”是指由开户机构、交易转接机构、收单机构或服务商等各服务提供方发起，向特约商户调取交易证明材料、确认交易真实性的过程。</w:t>
      </w:r>
    </w:p>
    <w:p>
      <w:pPr>
        <w:pStyle w:val="13"/>
        <w:ind w:firstLine="360" w:firstLineChars="200"/>
        <w:rPr>
          <w:rFonts w:ascii="仿宋" w:hAnsi="仿宋" w:eastAsia="仿宋" w:cs="仿宋"/>
          <w:sz w:val="18"/>
          <w:szCs w:val="18"/>
        </w:rPr>
      </w:pPr>
      <w:r>
        <w:rPr>
          <w:rFonts w:hint="eastAsia" w:ascii="仿宋" w:hAnsi="仿宋" w:eastAsia="仿宋" w:cs="仿宋"/>
          <w:sz w:val="18"/>
          <w:szCs w:val="18"/>
        </w:rPr>
        <w:t>1.12“交易证明材料”是指在支付交易过程中形成的，能够证明交易真实、有效的有关纸质或电子资料，包括但不限于：用户消费明细、购物发票、商户发货凭证、用户收货凭证、用户业务委托协议、商户销账凭证等。</w:t>
      </w:r>
    </w:p>
    <w:p>
      <w:pPr>
        <w:pStyle w:val="13"/>
        <w:ind w:firstLine="360" w:firstLineChars="200"/>
        <w:rPr>
          <w:rFonts w:ascii="仿宋" w:hAnsi="仿宋" w:eastAsia="仿宋" w:cs="仿宋"/>
          <w:sz w:val="18"/>
          <w:szCs w:val="18"/>
        </w:rPr>
      </w:pPr>
      <w:r>
        <w:rPr>
          <w:rFonts w:hint="eastAsia" w:ascii="仿宋" w:hAnsi="仿宋" w:eastAsia="仿宋" w:cs="仿宋"/>
          <w:sz w:val="18"/>
          <w:szCs w:val="18"/>
        </w:rPr>
        <w:t>1.13“差错”是指由于支付接口、通信线路、系统处理、业务受理操作及其他原因引起，需要进行相应的账务调整的交易。</w:t>
      </w:r>
    </w:p>
    <w:p>
      <w:pPr>
        <w:pStyle w:val="13"/>
        <w:ind w:firstLine="360" w:firstLineChars="200"/>
        <w:rPr>
          <w:rFonts w:ascii="仿宋" w:hAnsi="仿宋" w:eastAsia="仿宋" w:cs="仿宋"/>
          <w:sz w:val="18"/>
          <w:szCs w:val="18"/>
        </w:rPr>
      </w:pPr>
      <w:r>
        <w:rPr>
          <w:rFonts w:hint="eastAsia" w:ascii="仿宋" w:hAnsi="仿宋" w:eastAsia="仿宋" w:cs="仿宋"/>
          <w:sz w:val="18"/>
          <w:szCs w:val="18"/>
        </w:rPr>
        <w:t>1.14“退单”是指开户机构对交易有疑问而提出的拒绝付款或追回已付款款项的过程。</w:t>
      </w:r>
    </w:p>
    <w:p>
      <w:pPr>
        <w:pStyle w:val="13"/>
        <w:ind w:firstLine="360" w:firstLineChars="200"/>
        <w:rPr>
          <w:rFonts w:ascii="仿宋" w:hAnsi="仿宋" w:eastAsia="仿宋" w:cs="仿宋"/>
          <w:sz w:val="18"/>
          <w:szCs w:val="18"/>
        </w:rPr>
      </w:pPr>
      <w:r>
        <w:rPr>
          <w:rFonts w:hint="eastAsia" w:ascii="仿宋" w:hAnsi="仿宋" w:eastAsia="仿宋" w:cs="仿宋"/>
          <w:sz w:val="18"/>
          <w:szCs w:val="18"/>
        </w:rPr>
        <w:t>1.15“退货”是指特约商户应用户要求或主动将商品收回或服务取消，将已扣款项通过收单机构部分或全部退还用户原扣款账户的过程。</w:t>
      </w: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服务内容</w:t>
      </w:r>
    </w:p>
    <w:p>
      <w:pPr>
        <w:adjustRightInd w:val="0"/>
        <w:snapToGrid w:val="0"/>
        <w:spacing w:line="240" w:lineRule="auto"/>
        <w:ind w:firstLine="360"/>
        <w:rPr>
          <w:rFonts w:hint="eastAsia" w:ascii="仿宋" w:hAnsi="仿宋" w:eastAsia="仿宋" w:cs="仿宋"/>
          <w:sz w:val="18"/>
          <w:szCs w:val="18"/>
        </w:rPr>
      </w:pPr>
      <w:r>
        <w:rPr>
          <w:rFonts w:hint="eastAsia" w:ascii="仿宋" w:hAnsi="仿宋" w:eastAsia="仿宋" w:cs="仿宋"/>
          <w:sz w:val="18"/>
          <w:szCs w:val="18"/>
        </w:rPr>
        <w:t xml:space="preserve">2.1 </w:t>
      </w:r>
      <w:r>
        <w:rPr>
          <w:rFonts w:hint="eastAsia" w:ascii="仿宋" w:hAnsi="仿宋" w:eastAsia="仿宋" w:cs="仿宋"/>
          <w:sz w:val="18"/>
          <w:szCs w:val="18"/>
          <w:lang w:val="en-US" w:eastAsia="zh-CN"/>
        </w:rPr>
        <w:t>乙方负责支付平台系统的技术开发、更新与维护工作，按双方约定建立与甲方系统对接，并基于甲方的发展需求，不定时进行平台系统优化。</w:t>
      </w:r>
    </w:p>
    <w:p>
      <w:pPr>
        <w:adjustRightInd w:val="0"/>
        <w:snapToGrid w:val="0"/>
        <w:spacing w:line="240" w:lineRule="auto"/>
        <w:ind w:firstLine="360"/>
        <w:rPr>
          <w:rFonts w:ascii="仿宋" w:hAnsi="仿宋" w:eastAsia="仿宋" w:cs="仿宋"/>
          <w:sz w:val="18"/>
          <w:szCs w:val="18"/>
        </w:rPr>
      </w:pPr>
      <w:r>
        <w:rPr>
          <w:rFonts w:hint="eastAsia" w:ascii="仿宋" w:hAnsi="仿宋" w:eastAsia="仿宋" w:cs="仿宋"/>
          <w:sz w:val="18"/>
          <w:szCs w:val="18"/>
          <w:lang w:val="en-US" w:eastAsia="zh-CN"/>
        </w:rPr>
        <w:t xml:space="preserve">2.2 </w:t>
      </w:r>
      <w:r>
        <w:rPr>
          <w:rFonts w:hint="eastAsia" w:ascii="仿宋" w:hAnsi="仿宋" w:eastAsia="仿宋" w:cs="仿宋"/>
          <w:sz w:val="18"/>
          <w:szCs w:val="18"/>
        </w:rPr>
        <w:t>乙方根据相关监管规定，为甲方开立支付账户，并提供必要的信息查询、技术支持等服务，具体以乙方实际提供的服务为准。主要流程包括：</w:t>
      </w:r>
    </w:p>
    <w:p>
      <w:pPr>
        <w:adjustRightInd w:val="0"/>
        <w:snapToGrid w:val="0"/>
        <w:spacing w:line="240" w:lineRule="auto"/>
        <w:ind w:firstLine="360"/>
        <w:rPr>
          <w:rFonts w:ascii="仿宋" w:hAnsi="仿宋" w:eastAsia="仿宋" w:cs="仿宋"/>
          <w:sz w:val="18"/>
          <w:szCs w:val="18"/>
        </w:rPr>
      </w:pPr>
      <w:r>
        <w:rPr>
          <w:rFonts w:hint="eastAsia" w:ascii="仿宋" w:hAnsi="仿宋" w:eastAsia="仿宋" w:cs="仿宋"/>
          <w:sz w:val="18"/>
          <w:szCs w:val="18"/>
        </w:rPr>
        <w:t>（1）甲方在乙方网站、客户端页面或现场面对面向乙方如实提供身份基本信息；</w:t>
      </w:r>
    </w:p>
    <w:p>
      <w:pPr>
        <w:adjustRightInd w:val="0"/>
        <w:snapToGrid w:val="0"/>
        <w:spacing w:line="240" w:lineRule="auto"/>
        <w:ind w:firstLine="360"/>
        <w:rPr>
          <w:rFonts w:ascii="仿宋" w:hAnsi="仿宋" w:eastAsia="仿宋" w:cs="仿宋"/>
          <w:sz w:val="18"/>
          <w:szCs w:val="18"/>
          <w:highlight w:val="yellow"/>
        </w:rPr>
      </w:pPr>
      <w:r>
        <w:rPr>
          <w:rFonts w:hint="eastAsia" w:ascii="仿宋" w:hAnsi="仿宋" w:eastAsia="仿宋" w:cs="仿宋"/>
          <w:sz w:val="18"/>
          <w:szCs w:val="18"/>
        </w:rPr>
        <w:t>（2）乙方按照实名制管理要求，登记并采取有效措施验证甲方身份信息，按照规定核对有效身份证件并留存有效身份证件复印件或者影印件，建立甲方唯一识别编码，确保有效核实甲方身份及其真实意愿后，为甲方开立支付账户。</w:t>
      </w:r>
    </w:p>
    <w:p>
      <w:pPr>
        <w:adjustRightInd w:val="0"/>
        <w:snapToGrid w:val="0"/>
        <w:spacing w:line="240" w:lineRule="auto"/>
        <w:ind w:firstLine="360"/>
        <w:rPr>
          <w:rFonts w:ascii="仿宋" w:hAnsi="仿宋" w:eastAsia="仿宋" w:cs="仿宋"/>
          <w:sz w:val="18"/>
          <w:szCs w:val="18"/>
        </w:rPr>
      </w:pPr>
      <w:r>
        <w:rPr>
          <w:rFonts w:hint="eastAsia" w:ascii="仿宋" w:hAnsi="仿宋" w:eastAsia="仿宋" w:cs="仿宋"/>
          <w:sz w:val="18"/>
          <w:szCs w:val="18"/>
        </w:rPr>
        <w:t>2.</w:t>
      </w:r>
      <w:r>
        <w:rPr>
          <w:rFonts w:hint="eastAsia" w:ascii="仿宋" w:hAnsi="仿宋" w:eastAsia="仿宋" w:cs="仿宋"/>
          <w:sz w:val="18"/>
          <w:szCs w:val="18"/>
          <w:lang w:val="en-US" w:eastAsia="zh-CN"/>
        </w:rPr>
        <w:t>3</w:t>
      </w:r>
      <w:r>
        <w:rPr>
          <w:rFonts w:hint="eastAsia" w:ascii="仿宋" w:hAnsi="仿宋" w:eastAsia="仿宋" w:cs="仿宋"/>
          <w:sz w:val="18"/>
          <w:szCs w:val="18"/>
        </w:rPr>
        <w:t xml:space="preserve"> 乙方</w:t>
      </w:r>
      <w:r>
        <w:rPr>
          <w:rFonts w:hint="eastAsia" w:ascii="仿宋" w:hAnsi="仿宋" w:eastAsia="仿宋" w:cs="仿宋"/>
          <w:sz w:val="18"/>
          <w:szCs w:val="18"/>
          <w:lang w:val="en-US" w:eastAsia="zh-CN"/>
        </w:rPr>
        <w:t>通过支付服务平台</w:t>
      </w:r>
      <w:r>
        <w:rPr>
          <w:rFonts w:hint="eastAsia" w:ascii="仿宋" w:hAnsi="仿宋" w:eastAsia="仿宋" w:cs="仿宋"/>
          <w:sz w:val="18"/>
          <w:szCs w:val="18"/>
        </w:rPr>
        <w:t>向甲方提供网银支付、快捷支付、条码支付、移动支付或其他业务类型的网络支付服务</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保障平台系统的稳定安全运行，确保平台系统在接收甲方数据后，对所接收的数据在传输和处理过程中的安全、完整、准确，在系统发生故障时，及时响应处理。</w:t>
      </w:r>
      <w:r>
        <w:rPr>
          <w:rFonts w:hint="eastAsia" w:ascii="仿宋" w:hAnsi="仿宋" w:eastAsia="仿宋" w:cs="仿宋"/>
          <w:sz w:val="18"/>
          <w:szCs w:val="18"/>
        </w:rPr>
        <w:t>具体服务内容以本协议《特约商户业务申请表》或补充协议及其他业务文件中甲方的申请和实际审核确定的结果为准。</w:t>
      </w:r>
    </w:p>
    <w:p>
      <w:pPr>
        <w:adjustRightInd w:val="0"/>
        <w:snapToGrid w:val="0"/>
        <w:spacing w:line="240" w:lineRule="auto"/>
        <w:ind w:firstLine="360"/>
        <w:rPr>
          <w:rFonts w:ascii="仿宋" w:hAnsi="仿宋" w:eastAsia="仿宋" w:cs="仿宋"/>
          <w:sz w:val="18"/>
          <w:szCs w:val="18"/>
        </w:rPr>
      </w:pPr>
      <w:r>
        <w:rPr>
          <w:rFonts w:hint="eastAsia" w:ascii="仿宋" w:hAnsi="仿宋" w:eastAsia="仿宋" w:cs="仿宋"/>
          <w:sz w:val="18"/>
          <w:szCs w:val="18"/>
        </w:rPr>
        <w:t>2.</w:t>
      </w:r>
      <w:r>
        <w:rPr>
          <w:rFonts w:hint="eastAsia" w:ascii="仿宋" w:hAnsi="仿宋" w:eastAsia="仿宋" w:cs="仿宋"/>
          <w:sz w:val="18"/>
          <w:szCs w:val="18"/>
          <w:lang w:val="en-US" w:eastAsia="zh-CN"/>
        </w:rPr>
        <w:t>4</w:t>
      </w:r>
      <w:r>
        <w:rPr>
          <w:rFonts w:hint="eastAsia" w:ascii="仿宋" w:hAnsi="仿宋" w:eastAsia="仿宋" w:cs="仿宋"/>
          <w:sz w:val="18"/>
          <w:szCs w:val="18"/>
        </w:rPr>
        <w:t xml:space="preserve"> 乙方对网络支付服务过程中与甲方发生的差错争议和纠纷投诉提供相关解答和处理服务。处理流程如下：</w:t>
      </w:r>
    </w:p>
    <w:p>
      <w:pPr>
        <w:adjustRightInd w:val="0"/>
        <w:snapToGrid w:val="0"/>
        <w:spacing w:line="240" w:lineRule="auto"/>
        <w:ind w:firstLine="360"/>
        <w:rPr>
          <w:rFonts w:ascii="仿宋" w:hAnsi="仿宋" w:eastAsia="仿宋" w:cs="仿宋"/>
          <w:sz w:val="18"/>
          <w:szCs w:val="18"/>
        </w:rPr>
      </w:pPr>
      <w:r>
        <w:rPr>
          <w:rFonts w:hint="eastAsia" w:ascii="仿宋" w:hAnsi="仿宋" w:eastAsia="仿宋" w:cs="仿宋"/>
          <w:sz w:val="18"/>
          <w:szCs w:val="18"/>
        </w:rPr>
        <w:t>（1）甲方通过电话、电子邮件等方式向乙方反馈问题；</w:t>
      </w:r>
    </w:p>
    <w:p>
      <w:pPr>
        <w:adjustRightInd w:val="0"/>
        <w:snapToGrid w:val="0"/>
        <w:spacing w:line="240" w:lineRule="auto"/>
        <w:ind w:firstLine="360"/>
        <w:rPr>
          <w:rFonts w:hint="eastAsia" w:ascii="仿宋" w:hAnsi="仿宋" w:eastAsia="仿宋" w:cs="仿宋"/>
          <w:sz w:val="18"/>
          <w:szCs w:val="18"/>
        </w:rPr>
      </w:pPr>
      <w:r>
        <w:rPr>
          <w:rFonts w:hint="eastAsia" w:ascii="仿宋" w:hAnsi="仿宋" w:eastAsia="仿宋" w:cs="仿宋"/>
          <w:sz w:val="18"/>
          <w:szCs w:val="18"/>
        </w:rPr>
        <w:t>（2）乙方确认甲方身份后，针对甲方的相关问题进行解答及处理，必要时乙方有权要求甲方提供相应的资料，甲方应予配合。</w:t>
      </w:r>
    </w:p>
    <w:p>
      <w:pPr>
        <w:adjustRightInd w:val="0"/>
        <w:snapToGrid w:val="0"/>
        <w:spacing w:line="240" w:lineRule="auto"/>
        <w:ind w:firstLine="360"/>
        <w:rPr>
          <w:rFonts w:hint="eastAsia" w:ascii="仿宋" w:hAnsi="仿宋" w:eastAsia="仿宋" w:cs="仿宋"/>
          <w:b/>
          <w:bCs/>
          <w:sz w:val="18"/>
          <w:szCs w:val="18"/>
          <w:u w:val="single"/>
        </w:rPr>
      </w:pPr>
      <w:r>
        <w:rPr>
          <w:rFonts w:hint="eastAsia" w:ascii="仿宋" w:hAnsi="仿宋" w:eastAsia="仿宋" w:cs="仿宋"/>
          <w:sz w:val="18"/>
          <w:szCs w:val="18"/>
          <w:lang w:val="en-US" w:eastAsia="zh-CN"/>
        </w:rPr>
        <w:t xml:space="preserve">2.5 </w:t>
      </w:r>
      <w:r>
        <w:rPr>
          <w:rFonts w:hint="eastAsia" w:ascii="仿宋" w:hAnsi="仿宋" w:eastAsia="仿宋" w:cs="仿宋"/>
          <w:sz w:val="18"/>
          <w:szCs w:val="18"/>
          <w:lang w:eastAsia="zh-CN"/>
        </w:rPr>
        <w:t>甲方</w:t>
      </w:r>
      <w:r>
        <w:rPr>
          <w:rFonts w:hint="eastAsia" w:ascii="仿宋" w:hAnsi="仿宋" w:eastAsia="仿宋" w:cs="仿宋"/>
          <w:sz w:val="18"/>
          <w:szCs w:val="18"/>
        </w:rPr>
        <w:t>已知悉并同意，因</w:t>
      </w:r>
      <w:r>
        <w:rPr>
          <w:rFonts w:hint="eastAsia" w:ascii="仿宋" w:hAnsi="仿宋" w:eastAsia="仿宋" w:cs="仿宋"/>
          <w:sz w:val="18"/>
          <w:szCs w:val="18"/>
          <w:lang w:eastAsia="zh-CN"/>
        </w:rPr>
        <w:t>甲方</w:t>
      </w:r>
      <w:r>
        <w:rPr>
          <w:rFonts w:hint="eastAsia" w:ascii="仿宋" w:hAnsi="仿宋" w:eastAsia="仿宋" w:cs="仿宋"/>
          <w:sz w:val="18"/>
          <w:szCs w:val="18"/>
        </w:rPr>
        <w:t>的银行账户功能、限额、类别等情况发生变化，或银行账户被撤销或合并而无法正常使用本服务的，</w:t>
      </w:r>
      <w:r>
        <w:rPr>
          <w:rFonts w:hint="eastAsia" w:ascii="仿宋" w:hAnsi="仿宋" w:eastAsia="仿宋" w:cs="仿宋"/>
          <w:sz w:val="18"/>
          <w:szCs w:val="18"/>
          <w:lang w:eastAsia="zh-CN"/>
        </w:rPr>
        <w:t>甲方</w:t>
      </w:r>
      <w:r>
        <w:rPr>
          <w:rFonts w:hint="eastAsia" w:ascii="仿宋" w:hAnsi="仿宋" w:eastAsia="仿宋" w:cs="仿宋"/>
          <w:sz w:val="18"/>
          <w:szCs w:val="18"/>
        </w:rPr>
        <w:t>需与银行协商解决并及时通知</w:t>
      </w:r>
      <w:r>
        <w:rPr>
          <w:rFonts w:hint="eastAsia" w:ascii="仿宋" w:hAnsi="仿宋" w:eastAsia="仿宋" w:cs="仿宋"/>
          <w:sz w:val="18"/>
          <w:szCs w:val="18"/>
          <w:lang w:eastAsia="zh-CN"/>
        </w:rPr>
        <w:t>乙方</w:t>
      </w:r>
      <w:r>
        <w:rPr>
          <w:rFonts w:hint="eastAsia" w:ascii="仿宋" w:hAnsi="仿宋" w:eastAsia="仿宋" w:cs="仿宋"/>
          <w:sz w:val="18"/>
          <w:szCs w:val="18"/>
        </w:rPr>
        <w:t>，</w:t>
      </w:r>
      <w:r>
        <w:rPr>
          <w:rFonts w:hint="eastAsia" w:ascii="仿宋" w:hAnsi="仿宋" w:eastAsia="仿宋" w:cs="仿宋"/>
          <w:sz w:val="18"/>
          <w:szCs w:val="18"/>
          <w:lang w:eastAsia="zh-CN"/>
        </w:rPr>
        <w:t>乙方</w:t>
      </w:r>
      <w:r>
        <w:rPr>
          <w:rFonts w:hint="eastAsia" w:ascii="仿宋" w:hAnsi="仿宋" w:eastAsia="仿宋" w:cs="仿宋"/>
          <w:sz w:val="18"/>
          <w:szCs w:val="18"/>
        </w:rPr>
        <w:t>可提供必要的支持和配合。</w:t>
      </w:r>
      <w:r>
        <w:rPr>
          <w:rFonts w:hint="eastAsia" w:ascii="仿宋" w:hAnsi="仿宋" w:eastAsia="仿宋" w:cs="仿宋"/>
          <w:b/>
          <w:bCs/>
          <w:sz w:val="18"/>
          <w:szCs w:val="18"/>
          <w:u w:val="single"/>
          <w:lang w:eastAsia="zh-CN"/>
        </w:rPr>
        <w:t>乙方</w:t>
      </w:r>
      <w:r>
        <w:rPr>
          <w:rFonts w:hint="eastAsia" w:ascii="仿宋" w:hAnsi="仿宋" w:eastAsia="仿宋" w:cs="仿宋"/>
          <w:b/>
          <w:bCs/>
          <w:sz w:val="18"/>
          <w:szCs w:val="18"/>
          <w:u w:val="single"/>
        </w:rPr>
        <w:t>会根据监管要求、支付业务场景、交易风险控制、银行额度控制及/或银行合作情况等因素设定/调整</w:t>
      </w:r>
      <w:r>
        <w:rPr>
          <w:rFonts w:hint="eastAsia" w:ascii="仿宋" w:hAnsi="仿宋" w:eastAsia="仿宋" w:cs="仿宋"/>
          <w:b/>
          <w:bCs/>
          <w:sz w:val="18"/>
          <w:szCs w:val="18"/>
          <w:u w:val="single"/>
          <w:lang w:eastAsia="zh-CN"/>
        </w:rPr>
        <w:t>甲方</w:t>
      </w:r>
      <w:r>
        <w:rPr>
          <w:rFonts w:hint="eastAsia" w:ascii="仿宋" w:hAnsi="仿宋" w:eastAsia="仿宋" w:cs="仿宋"/>
          <w:b/>
          <w:bCs/>
          <w:sz w:val="18"/>
          <w:szCs w:val="18"/>
          <w:u w:val="single"/>
        </w:rPr>
        <w:t>可使用的交易限额，具体以实际支付时的提示为准。</w:t>
      </w:r>
    </w:p>
    <w:p>
      <w:pPr>
        <w:adjustRightInd w:val="0"/>
        <w:snapToGrid w:val="0"/>
        <w:spacing w:line="240" w:lineRule="auto"/>
        <w:ind w:firstLine="360"/>
        <w:rPr>
          <w:rFonts w:ascii="仿宋" w:hAnsi="仿宋" w:eastAsia="仿宋" w:cs="仿宋"/>
          <w:sz w:val="18"/>
          <w:szCs w:val="18"/>
        </w:rPr>
      </w:pP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服务费用</w:t>
      </w:r>
    </w:p>
    <w:p>
      <w:pPr>
        <w:pStyle w:val="13"/>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3.1 甲方应按照本协议《特约商户业务申请表》或补充协议及其他业务文件中约定的标准向乙方支付交易手续费、入网费、系统年费、技术服务费等各项服务费用。</w:t>
      </w:r>
      <w:r>
        <w:rPr>
          <w:rFonts w:hint="eastAsia" w:ascii="仿宋" w:hAnsi="仿宋" w:eastAsia="仿宋" w:cs="仿宋"/>
          <w:color w:val="000000" w:themeColor="text1"/>
          <w:sz w:val="18"/>
          <w:szCs w:val="18"/>
          <w14:textFill>
            <w14:solidFill>
              <w14:schemeClr w14:val="tx1"/>
            </w14:solidFill>
          </w14:textFill>
        </w:rPr>
        <w:t>甲方开通乙方提供的“交易日当日结算”和“交易日次日结算”等</w:t>
      </w:r>
      <w:r>
        <w:rPr>
          <w:rFonts w:hint="eastAsia" w:ascii="仿宋" w:hAnsi="仿宋" w:eastAsia="仿宋" w:cs="仿宋"/>
          <w:sz w:val="18"/>
          <w:szCs w:val="18"/>
        </w:rPr>
        <w:t>结算周期的快速结算业务，除支付交易手续费外，还应支付快速结算费。甲乙双方结算货币单位</w:t>
      </w:r>
      <w:r>
        <w:rPr>
          <w:rFonts w:hint="eastAsia" w:ascii="仿宋" w:hAnsi="仿宋" w:eastAsia="仿宋" w:cs="仿宋"/>
          <w:sz w:val="18"/>
          <w:szCs w:val="18"/>
          <w:lang w:eastAsia="zh-CN"/>
        </w:rPr>
        <w:t>均</w:t>
      </w:r>
      <w:r>
        <w:rPr>
          <w:rFonts w:hint="eastAsia" w:ascii="仿宋" w:hAnsi="仿宋" w:eastAsia="仿宋" w:cs="仿宋"/>
          <w:sz w:val="18"/>
          <w:szCs w:val="18"/>
        </w:rPr>
        <w:t>为人民币。</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3.2 双方约定从交易资金中扣收的服务费用，如乙方未能足额扣收的，甲方应按乙方要求支付给乙方。双方约定预付费的费用，甲方应在每个付费周期开始前至少提前5个工作日支付给乙方，双方约定后付费的费用，甲方每个付费周期结束后5个工作日内支付给乙方，否则乙方有权要求甲方按银行同期贷款利率支付逾期利息并暂停相关业务。</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 xml:space="preserve">3.3 </w:t>
      </w:r>
      <w:r>
        <w:rPr>
          <w:rFonts w:hint="eastAsia" w:ascii="仿宋" w:hAnsi="仿宋" w:eastAsia="仿宋" w:cs="仿宋"/>
          <w:b/>
          <w:bCs/>
          <w:sz w:val="18"/>
          <w:szCs w:val="18"/>
          <w:u w:val="single"/>
        </w:rPr>
        <w:t>甲方逾期未付服务费用或其他应付乙方款项的，应承担违约责任，乙方有权从甲方交易资金中扣收逾期费用及逾期违约金，或暂缓交易资金结算并要求甲方支付相应费用。</w:t>
      </w:r>
    </w:p>
    <w:p>
      <w:pPr>
        <w:adjustRightInd w:val="0"/>
        <w:snapToGrid w:val="0"/>
        <w:spacing w:line="240" w:lineRule="auto"/>
        <w:ind w:firstLine="360" w:firstLineChars="200"/>
        <w:rPr>
          <w:rFonts w:ascii="仿宋" w:hAnsi="仿宋" w:eastAsia="仿宋" w:cs="仿宋"/>
          <w:sz w:val="18"/>
          <w:szCs w:val="18"/>
          <w:highlight w:val="yellow"/>
        </w:rPr>
      </w:pPr>
      <w:r>
        <w:rPr>
          <w:rFonts w:hint="eastAsia" w:ascii="仿宋" w:hAnsi="仿宋" w:eastAsia="仿宋" w:cs="仿宋"/>
          <w:sz w:val="18"/>
          <w:szCs w:val="18"/>
        </w:rPr>
        <w:t>3.4 若甲方要求乙方开具发票，应在首次开票前依法及时提交准确、完整的发票信息，乙方就交易手续费等服务费用向甲方开具增值税普通发票（备付金等代收款项不开具发票）。若甲方要求开具增值税专用发票，应向乙方提交一般纳税人资质材料。若甲方发票信息有变更，应在发票信息变更后的首次开票前提交新的发票信息。</w:t>
      </w:r>
      <w:r>
        <w:rPr>
          <w:rFonts w:hint="eastAsia" w:ascii="仿宋" w:hAnsi="仿宋" w:eastAsia="仿宋" w:cs="仿宋"/>
          <w:sz w:val="18"/>
          <w:szCs w:val="18"/>
          <w:lang w:eastAsia="zh-CN"/>
        </w:rPr>
        <w:t>甲方延期提交发票信息或提交发票信息有误、不完整的，由甲方自行承担相应责任及损失。</w:t>
      </w:r>
    </w:p>
    <w:p>
      <w:pPr>
        <w:adjustRightInd w:val="0"/>
        <w:snapToGrid w:val="0"/>
        <w:spacing w:line="240" w:lineRule="auto"/>
        <w:ind w:firstLine="361" w:firstLineChars="200"/>
        <w:rPr>
          <w:rFonts w:ascii="仿宋" w:hAnsi="仿宋" w:eastAsia="仿宋" w:cs="仿宋"/>
          <w:sz w:val="18"/>
          <w:szCs w:val="18"/>
        </w:rPr>
      </w:pPr>
      <w:r>
        <w:rPr>
          <w:rFonts w:hint="eastAsia" w:ascii="仿宋" w:hAnsi="仿宋" w:eastAsia="仿宋" w:cs="仿宋"/>
          <w:b/>
          <w:bCs/>
          <w:sz w:val="18"/>
          <w:szCs w:val="18"/>
        </w:rPr>
        <w:t xml:space="preserve">3.5 </w:t>
      </w:r>
      <w:r>
        <w:rPr>
          <w:rFonts w:hint="eastAsia" w:ascii="仿宋" w:hAnsi="仿宋" w:eastAsia="仿宋" w:cs="仿宋"/>
          <w:b/>
          <w:bCs/>
          <w:sz w:val="18"/>
          <w:szCs w:val="18"/>
          <w:u w:val="single"/>
        </w:rPr>
        <w:t>如有权机关、监管部门、行业协会、开户机构、卡组织、清算机构的相关政策规定发生变化，导致支付业务规则变化或导致乙方支付业务成本发生变化或开户机构、卡组织、清算机构支付业务价格发生变化，乙方有权调整交易手续费或其他服务费标准并通知甲方。如甲方接到乙方通知之日起5个工作日内未书面提出异议将视为甲方接受调整，自甲方接到乙方通知之日起5个工作日后开始执行新的费率标准；如甲方有异议，应立即停止使用相关支付业务并向乙方申请关闭，如甲方继续使用的，视为甲方无异议。</w:t>
      </w:r>
      <w:r>
        <w:rPr>
          <w:rFonts w:hint="eastAsia" w:ascii="仿宋" w:hAnsi="仿宋" w:eastAsia="仿宋" w:cs="仿宋"/>
          <w:sz w:val="18"/>
          <w:szCs w:val="18"/>
        </w:rPr>
        <w:t>如乙方基于开户机构、卡组织、清算机构的优惠活动，在约定费率之外向甲方提供优惠的，优惠费率仅在活动期间有效，乙方有权根据优惠活动变动情况单方终止优惠费率或在约定费率范围内调整优惠费率</w:t>
      </w:r>
      <w:r>
        <w:rPr>
          <w:rFonts w:hint="eastAsia" w:ascii="仿宋" w:hAnsi="仿宋" w:eastAsia="仿宋" w:cs="仿宋"/>
          <w:sz w:val="18"/>
          <w:szCs w:val="18"/>
          <w:lang w:eastAsia="zh-CN"/>
        </w:rPr>
        <w:t>，乙方享有优惠活动政策的最终解释权</w:t>
      </w:r>
      <w:r>
        <w:rPr>
          <w:rFonts w:hint="eastAsia" w:ascii="仿宋" w:hAnsi="仿宋" w:eastAsia="仿宋" w:cs="仿宋"/>
          <w:sz w:val="18"/>
          <w:szCs w:val="18"/>
        </w:rPr>
        <w:t>。</w:t>
      </w: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服务申请与使用</w:t>
      </w:r>
    </w:p>
    <w:p>
      <w:pPr>
        <w:adjustRightInd w:val="0"/>
        <w:snapToGrid w:val="0"/>
        <w:spacing w:line="240" w:lineRule="auto"/>
        <w:ind w:firstLine="360"/>
        <w:rPr>
          <w:rFonts w:ascii="仿宋" w:hAnsi="仿宋" w:eastAsia="仿宋" w:cs="仿宋"/>
          <w:b/>
          <w:bCs/>
          <w:sz w:val="18"/>
          <w:szCs w:val="18"/>
        </w:rPr>
      </w:pPr>
      <w:r>
        <w:rPr>
          <w:rFonts w:hint="eastAsia" w:ascii="仿宋" w:hAnsi="仿宋" w:eastAsia="仿宋" w:cs="仿宋"/>
          <w:sz w:val="18"/>
          <w:szCs w:val="18"/>
        </w:rPr>
        <w:t xml:space="preserve">4.1 </w:t>
      </w:r>
      <w:r>
        <w:rPr>
          <w:rFonts w:hint="eastAsia" w:ascii="仿宋" w:hAnsi="仿宋" w:eastAsia="仿宋" w:cs="仿宋"/>
          <w:b/>
          <w:bCs/>
          <w:sz w:val="18"/>
          <w:szCs w:val="18"/>
        </w:rPr>
        <w:t>甲方申请网络支付服务，应向乙方提供甲方信息和线上商店（包括但不限于网站、商城、APP、公众号、小程序）信息（若有），并提供相关资质证明材料（包括但不限于营业执照、法定代表人/负责人/经营者有效身份证件、</w:t>
      </w:r>
      <w:r>
        <w:rPr>
          <w:rFonts w:hint="eastAsia" w:ascii="仿宋" w:hAnsi="仿宋" w:eastAsia="仿宋" w:cs="仿宋"/>
          <w:b/>
          <w:bCs/>
          <w:sz w:val="18"/>
          <w:szCs w:val="18"/>
          <w:lang w:val="en-US" w:eastAsia="zh-CN"/>
        </w:rPr>
        <w:t>手机</w:t>
      </w:r>
      <w:r>
        <w:rPr>
          <w:rFonts w:hint="eastAsia" w:ascii="仿宋" w:hAnsi="仿宋" w:eastAsia="仿宋" w:cs="仿宋"/>
          <w:b/>
          <w:bCs/>
          <w:sz w:val="18"/>
          <w:szCs w:val="18"/>
        </w:rPr>
        <w:t>号码</w:t>
      </w:r>
      <w:r>
        <w:rPr>
          <w:rFonts w:hint="eastAsia" w:ascii="仿宋" w:hAnsi="仿宋" w:eastAsia="仿宋" w:cs="仿宋"/>
          <w:b/>
          <w:bCs/>
          <w:sz w:val="18"/>
          <w:szCs w:val="18"/>
          <w:lang w:eastAsia="zh-CN"/>
        </w:rPr>
        <w:t>、</w:t>
      </w:r>
      <w:r>
        <w:rPr>
          <w:rFonts w:hint="eastAsia" w:ascii="仿宋" w:hAnsi="仿宋" w:eastAsia="仿宋" w:cs="仿宋"/>
          <w:b/>
          <w:bCs/>
          <w:sz w:val="18"/>
          <w:szCs w:val="18"/>
        </w:rPr>
        <w:t>结算账户、经营场所照片或视频资料及其他相关证明文件，若甲方从事特定许可业务还应提供许可文件），并交由乙方留存资质证明材料复印件或影印件，甲方应保证所提供信息材料均真实、</w:t>
      </w:r>
      <w:r>
        <w:rPr>
          <w:rFonts w:hint="eastAsia" w:ascii="仿宋" w:hAnsi="仿宋" w:eastAsia="仿宋" w:cs="仿宋"/>
          <w:b/>
          <w:bCs/>
          <w:sz w:val="18"/>
          <w:szCs w:val="18"/>
          <w:lang w:val="en-US" w:eastAsia="zh-CN"/>
        </w:rPr>
        <w:t>完整、</w:t>
      </w:r>
      <w:r>
        <w:rPr>
          <w:rFonts w:hint="eastAsia" w:ascii="仿宋" w:hAnsi="仿宋" w:eastAsia="仿宋" w:cs="仿宋"/>
          <w:b/>
          <w:bCs/>
          <w:sz w:val="18"/>
          <w:szCs w:val="18"/>
        </w:rPr>
        <w:t>合法、有效。若甲方资质证明材料存在有效期的，应在过期前向乙方提供续期证明或新的证明文件。</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4.2 乙方接收甲方信息和资质证明材料后，依据法律法规、支付业务规则和乙方业务规范对甲方进行资质审查，并根据审查结果决定是否向甲方提供网络支付服务。乙方的审查不免除或减轻甲方对其信息和材料真实、合法、</w:t>
      </w:r>
      <w:r>
        <w:rPr>
          <w:rFonts w:hint="eastAsia" w:ascii="仿宋" w:hAnsi="仿宋" w:eastAsia="仿宋" w:cs="仿宋"/>
          <w:sz w:val="18"/>
          <w:szCs w:val="18"/>
          <w:lang w:eastAsia="zh-CN"/>
        </w:rPr>
        <w:t>完整、</w:t>
      </w:r>
      <w:r>
        <w:rPr>
          <w:rFonts w:hint="eastAsia" w:ascii="仿宋" w:hAnsi="仿宋" w:eastAsia="仿宋" w:cs="仿宋"/>
          <w:sz w:val="18"/>
          <w:szCs w:val="18"/>
        </w:rPr>
        <w:t>有效的保证义务和责任。乙方应防止甲方信息材料被泄露，且不得利用甲方的上述信息材料从事超出法律许可或未经甲方授权的活动。</w:t>
      </w:r>
    </w:p>
    <w:p>
      <w:pPr>
        <w:adjustRightInd w:val="0"/>
        <w:snapToGrid w:val="0"/>
        <w:spacing w:line="240" w:lineRule="auto"/>
        <w:ind w:firstLine="361" w:firstLineChars="200"/>
        <w:rPr>
          <w:rFonts w:hint="eastAsia" w:ascii="仿宋" w:hAnsi="仿宋" w:eastAsia="仿宋" w:cs="仿宋"/>
          <w:b/>
          <w:bCs/>
          <w:sz w:val="18"/>
          <w:szCs w:val="18"/>
          <w:u w:val="single"/>
        </w:rPr>
      </w:pPr>
      <w:r>
        <w:rPr>
          <w:rFonts w:hint="eastAsia" w:ascii="仿宋" w:hAnsi="仿宋" w:eastAsia="仿宋" w:cs="仿宋"/>
          <w:b/>
          <w:bCs/>
          <w:sz w:val="18"/>
          <w:szCs w:val="18"/>
        </w:rPr>
        <w:t>4.3 乙方有权对甲方的主体资格、资信情况、经营状况等不时进行各种形式的调查，甲方应按乙方要求提供信息、书面说明和其他文件资料。</w:t>
      </w:r>
      <w:r>
        <w:rPr>
          <w:rFonts w:hint="eastAsia" w:ascii="仿宋" w:hAnsi="仿宋" w:eastAsia="仿宋" w:cs="仿宋"/>
          <w:b/>
          <w:bCs/>
          <w:sz w:val="18"/>
          <w:szCs w:val="18"/>
          <w:lang w:val="en-US" w:eastAsia="zh-CN"/>
        </w:rPr>
        <w:t>为了及时有效地验证甲方的信息（包括但不限于身份信息、账户信息），根据法律法规及监管规定或乙方认为有需要时，甲方同意授权乙方可以在必要范围内与第三方进行信息核对,甲方同意乙方可以把甲方的信息提供给第三方，也同意第三方可以把甲方的信息提供给乙方，以便乙方进行验证。</w:t>
      </w:r>
      <w:r>
        <w:rPr>
          <w:rFonts w:hint="eastAsia" w:ascii="仿宋" w:hAnsi="仿宋" w:eastAsia="仿宋" w:cs="仿宋"/>
          <w:b/>
          <w:bCs/>
          <w:sz w:val="18"/>
          <w:szCs w:val="18"/>
        </w:rPr>
        <w:t>甲方信息和资质证明材料发生变更（包括但不限于工商登记名称、经营范围、法定代表人/负责人/经营者、主营业务等变更），或经营场所迁址、停业的，应在变更后5个工作日内通知乙方，并向乙方提供变更材料，乙方应当配合甲方完成相关变更确认手续。</w:t>
      </w:r>
      <w:r>
        <w:rPr>
          <w:rFonts w:hint="eastAsia" w:ascii="仿宋" w:hAnsi="仿宋" w:eastAsia="仿宋" w:cs="仿宋"/>
          <w:b/>
          <w:bCs/>
          <w:sz w:val="18"/>
          <w:szCs w:val="18"/>
          <w:u w:val="single"/>
        </w:rPr>
        <w:t>乙方根据调查结果或变更情况对甲方重新进行资质审查，有权单方调整、暂停提供的支付服务，当甲方不再符合乙方特约商户准入条件的，乙方有权终止</w:t>
      </w:r>
      <w:r>
        <w:rPr>
          <w:rFonts w:hint="eastAsia" w:ascii="仿宋" w:hAnsi="仿宋" w:eastAsia="仿宋" w:cs="仿宋"/>
          <w:b/>
          <w:bCs/>
          <w:sz w:val="18"/>
          <w:szCs w:val="18"/>
          <w:u w:val="single"/>
          <w:lang w:eastAsia="zh-CN"/>
        </w:rPr>
        <w:t>本</w:t>
      </w:r>
      <w:r>
        <w:rPr>
          <w:rFonts w:hint="eastAsia" w:ascii="仿宋" w:hAnsi="仿宋" w:eastAsia="仿宋" w:cs="仿宋"/>
          <w:b/>
          <w:bCs/>
          <w:sz w:val="18"/>
          <w:szCs w:val="18"/>
          <w:u w:val="single"/>
        </w:rPr>
        <w:t>协议。如</w:t>
      </w:r>
      <w:r>
        <w:rPr>
          <w:rFonts w:hint="eastAsia" w:ascii="仿宋" w:hAnsi="仿宋" w:eastAsia="仿宋" w:cs="仿宋"/>
          <w:b/>
          <w:bCs/>
          <w:sz w:val="18"/>
          <w:szCs w:val="18"/>
          <w:u w:val="single"/>
          <w:lang w:eastAsia="zh-CN"/>
        </w:rPr>
        <w:t>甲方</w:t>
      </w:r>
      <w:r>
        <w:rPr>
          <w:rFonts w:hint="eastAsia" w:ascii="仿宋" w:hAnsi="仿宋" w:eastAsia="仿宋" w:cs="仿宋"/>
          <w:b/>
          <w:bCs/>
          <w:sz w:val="18"/>
          <w:szCs w:val="18"/>
          <w:u w:val="single"/>
        </w:rPr>
        <w:t>未及时更新上述身份信息及相关资料导致本服务无法使用或支付账户</w:t>
      </w:r>
      <w:r>
        <w:rPr>
          <w:rFonts w:hint="eastAsia" w:ascii="仿宋" w:hAnsi="仿宋" w:eastAsia="仿宋" w:cs="仿宋"/>
          <w:b/>
          <w:bCs/>
          <w:sz w:val="18"/>
          <w:szCs w:val="18"/>
          <w:u w:val="single"/>
          <w:lang w:eastAsia="zh-CN"/>
        </w:rPr>
        <w:t>（如有）</w:t>
      </w:r>
      <w:r>
        <w:rPr>
          <w:rFonts w:hint="eastAsia" w:ascii="仿宋" w:hAnsi="仿宋" w:eastAsia="仿宋" w:cs="仿宋"/>
          <w:b/>
          <w:bCs/>
          <w:sz w:val="18"/>
          <w:szCs w:val="18"/>
          <w:u w:val="single"/>
        </w:rPr>
        <w:t>被他人冒用的，相应风险由</w:t>
      </w:r>
      <w:r>
        <w:rPr>
          <w:rFonts w:hint="eastAsia" w:ascii="仿宋" w:hAnsi="仿宋" w:eastAsia="仿宋" w:cs="仿宋"/>
          <w:b/>
          <w:bCs/>
          <w:sz w:val="18"/>
          <w:szCs w:val="18"/>
          <w:u w:val="single"/>
          <w:lang w:eastAsia="zh-CN"/>
        </w:rPr>
        <w:t>甲方</w:t>
      </w:r>
      <w:r>
        <w:rPr>
          <w:rFonts w:hint="eastAsia" w:ascii="仿宋" w:hAnsi="仿宋" w:eastAsia="仿宋" w:cs="仿宋"/>
          <w:b/>
          <w:bCs/>
          <w:sz w:val="18"/>
          <w:szCs w:val="18"/>
          <w:u w:val="single"/>
        </w:rPr>
        <w:t>自行承担。</w:t>
      </w:r>
    </w:p>
    <w:p>
      <w:pPr>
        <w:adjustRightInd w:val="0"/>
        <w:snapToGrid w:val="0"/>
        <w:spacing w:line="240" w:lineRule="auto"/>
        <w:ind w:firstLine="361" w:firstLineChars="200"/>
        <w:rPr>
          <w:rFonts w:hint="eastAsia" w:ascii="仿宋" w:hAnsi="仿宋" w:eastAsia="仿宋" w:cs="仿宋"/>
          <w:sz w:val="18"/>
          <w:szCs w:val="18"/>
        </w:rPr>
      </w:pPr>
      <w:r>
        <w:rPr>
          <w:rFonts w:hint="eastAsia" w:ascii="仿宋" w:hAnsi="仿宋" w:eastAsia="仿宋" w:cs="仿宋"/>
          <w:b/>
          <w:bCs/>
          <w:sz w:val="18"/>
          <w:szCs w:val="18"/>
          <w:u w:val="single"/>
          <w:lang w:val="en-US" w:eastAsia="zh-CN"/>
        </w:rPr>
        <w:t>4.4 甲方使用乙方网络支付服务，即表明甲方同意授权乙方收集、记录和使用甲方使用该服务过程中产生的相关信息和数据，包括但不限于甲方及其法定代表人、负责人的身份信息、账户信息和交易信息等，并将前述信息提交国家机关、金融机构和其他企事业单位进行身份验证和鉴权。乙方有权根据需要收集、保存、核实甲方法定代表人、负责人的音频和视频资料。为更好地提供服务，乙方及关联公司有权在法律允许的范围内自行收集、记录、使用上述信息和数据。</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4.</w:t>
      </w:r>
      <w:r>
        <w:rPr>
          <w:rFonts w:hint="eastAsia" w:ascii="仿宋" w:hAnsi="仿宋" w:eastAsia="仿宋" w:cs="仿宋"/>
          <w:sz w:val="18"/>
          <w:szCs w:val="18"/>
          <w:lang w:val="en-US" w:eastAsia="zh-CN"/>
        </w:rPr>
        <w:t>5</w:t>
      </w:r>
      <w:r>
        <w:rPr>
          <w:rFonts w:hint="eastAsia" w:ascii="仿宋" w:hAnsi="仿宋" w:eastAsia="仿宋" w:cs="仿宋"/>
          <w:sz w:val="18"/>
          <w:szCs w:val="18"/>
        </w:rPr>
        <w:t>甲方线上商店接入乙方网络支付业务，由乙方提供网络支付接口或插件，甲方自行完成接口对接或插件配置并按约定向乙方支付费用，甲方应在线上商店相关页面按照乙方和银联、网联等卡组织或清算机构的要求正确使用卡组织或清算机构标识。乙方对其提供给甲方的网络支付接口或插件及相关支付页面拥有所有权及处置权。甲方系统接入乙方支付系统所需的技术设备设施、通信线路及相关费用（包括但不限于安装费、调测费、月租费及证书申请和更新费用等），由甲方自行承担。</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4.</w:t>
      </w:r>
      <w:r>
        <w:rPr>
          <w:rFonts w:hint="eastAsia" w:ascii="仿宋" w:hAnsi="仿宋" w:eastAsia="仿宋" w:cs="仿宋"/>
          <w:sz w:val="18"/>
          <w:szCs w:val="18"/>
          <w:lang w:val="en-US" w:eastAsia="zh-CN"/>
        </w:rPr>
        <w:t>6</w:t>
      </w:r>
      <w:r>
        <w:rPr>
          <w:rFonts w:hint="eastAsia" w:ascii="仿宋" w:hAnsi="仿宋" w:eastAsia="仿宋" w:cs="仿宋"/>
          <w:sz w:val="18"/>
          <w:szCs w:val="18"/>
        </w:rPr>
        <w:t xml:space="preserve"> 甲方使用乙方网络支付服务开展的业务上线前应做好包括但不限于以下准备工作：</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（1）甲方应制定相关网络支付业务流程并在线上商店公示，保证用户能准确理解甲方的相关业务操作要求，能够正常使用并完成交易；</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（2）甲方应明确商品的交货方式、交付地点、交付时间等重要内容，并在线上商店公示；</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（3）甲方应明确网络支付常规功能的退货政策和退货程序，包括退货适用情形、退货时间要求、退货方式、退货地址、退货费用等内容，并在其线上商店公示。</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4.</w:t>
      </w:r>
      <w:r>
        <w:rPr>
          <w:rFonts w:hint="eastAsia" w:ascii="仿宋" w:hAnsi="仿宋" w:eastAsia="仿宋" w:cs="仿宋"/>
          <w:sz w:val="18"/>
          <w:szCs w:val="18"/>
          <w:lang w:val="en-US" w:eastAsia="zh-CN"/>
        </w:rPr>
        <w:t>7</w:t>
      </w:r>
      <w:r>
        <w:rPr>
          <w:rFonts w:hint="eastAsia" w:ascii="仿宋" w:hAnsi="仿宋" w:eastAsia="仿宋" w:cs="仿宋"/>
          <w:sz w:val="18"/>
          <w:szCs w:val="18"/>
        </w:rPr>
        <w:t xml:space="preserve"> 甲方使用乙方支付服务过程中，可以根据自身需要向乙方申请关闭已开通业务类型或申请开通其他业务类型，由乙方重新审查</w:t>
      </w:r>
      <w:r>
        <w:rPr>
          <w:rFonts w:hint="eastAsia" w:ascii="仿宋" w:hAnsi="仿宋" w:eastAsia="仿宋" w:cs="仿宋"/>
          <w:sz w:val="18"/>
          <w:szCs w:val="18"/>
          <w:lang w:eastAsia="zh-CN"/>
        </w:rPr>
        <w:t>通过</w:t>
      </w:r>
      <w:r>
        <w:rPr>
          <w:rFonts w:hint="eastAsia" w:ascii="仿宋" w:hAnsi="仿宋" w:eastAsia="仿宋" w:cs="仿宋"/>
          <w:sz w:val="18"/>
          <w:szCs w:val="18"/>
        </w:rPr>
        <w:t>后为甲方办理。</w:t>
      </w:r>
    </w:p>
    <w:p>
      <w:pPr>
        <w:adjustRightInd w:val="0"/>
        <w:snapToGrid w:val="0"/>
        <w:spacing w:line="240" w:lineRule="auto"/>
        <w:ind w:firstLine="361" w:firstLineChars="200"/>
        <w:rPr>
          <w:rFonts w:ascii="仿宋" w:hAnsi="仿宋" w:eastAsia="仿宋" w:cs="仿宋"/>
          <w:b/>
          <w:bCs/>
          <w:sz w:val="18"/>
          <w:szCs w:val="18"/>
        </w:rPr>
      </w:pPr>
      <w:r>
        <w:rPr>
          <w:rFonts w:ascii="仿宋" w:hAnsi="仿宋" w:eastAsia="仿宋" w:cs="仿宋"/>
          <w:b/>
          <w:bCs/>
          <w:sz w:val="18"/>
          <w:szCs w:val="18"/>
        </w:rPr>
        <w:t>4.</w:t>
      </w:r>
      <w:r>
        <w:rPr>
          <w:rFonts w:hint="eastAsia" w:ascii="仿宋" w:hAnsi="仿宋" w:eastAsia="仿宋" w:cs="仿宋"/>
          <w:b/>
          <w:bCs/>
          <w:sz w:val="18"/>
          <w:szCs w:val="18"/>
          <w:lang w:val="en-US" w:eastAsia="zh-CN"/>
        </w:rPr>
        <w:t>8</w:t>
      </w:r>
      <w:r>
        <w:rPr>
          <w:rFonts w:ascii="仿宋" w:hAnsi="仿宋" w:eastAsia="仿宋" w:cs="仿宋"/>
          <w:b/>
          <w:bCs/>
          <w:sz w:val="18"/>
          <w:szCs w:val="18"/>
        </w:rPr>
        <w:t xml:space="preserve"> </w:t>
      </w:r>
      <w:r>
        <w:rPr>
          <w:rFonts w:hint="eastAsia" w:ascii="仿宋" w:hAnsi="仿宋" w:eastAsia="仿宋" w:cs="仿宋"/>
          <w:b/>
          <w:bCs/>
          <w:sz w:val="18"/>
          <w:szCs w:val="18"/>
        </w:rPr>
        <w:t>甲方应妥善保管其在乙方开立的支付账户及其密码，以及安全认证工具。若因甲方未妥善保管上述信息导致被他人冒用、盗用或未经甲方授权使用其支付账户或操作其资金，甲方应自行承担相应损失。甲方发现存在上述情形的，应第一时间与乙方联系，对支付账户进行挂失，并按照乙方规定办理相关手续。甲方怠于办理相关挂失手续的，应承担相应的不利后果。</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u w:val="single"/>
        </w:rPr>
        <w:t>4.</w:t>
      </w:r>
      <w:r>
        <w:rPr>
          <w:rFonts w:hint="eastAsia" w:ascii="仿宋" w:hAnsi="仿宋" w:eastAsia="仿宋" w:cs="仿宋"/>
          <w:b/>
          <w:bCs/>
          <w:sz w:val="18"/>
          <w:szCs w:val="18"/>
          <w:u w:val="single"/>
          <w:lang w:val="en-US" w:eastAsia="zh-CN"/>
        </w:rPr>
        <w:t>9</w:t>
      </w:r>
      <w:r>
        <w:rPr>
          <w:rFonts w:hint="eastAsia" w:ascii="仿宋" w:hAnsi="仿宋" w:eastAsia="仿宋" w:cs="仿宋"/>
          <w:b/>
          <w:bCs/>
          <w:sz w:val="18"/>
          <w:szCs w:val="18"/>
          <w:u w:val="single"/>
        </w:rPr>
        <w:t xml:space="preserve"> 甲方不得把支付账户（如有）、乙方提供的接口技术、安全协议及证书用于协议文件范围以外的用途，也不得出租、</w:t>
      </w:r>
      <w:r>
        <w:rPr>
          <w:rFonts w:hint="eastAsia" w:ascii="仿宋" w:hAnsi="仿宋" w:eastAsia="仿宋" w:cs="仿宋"/>
          <w:b/>
          <w:bCs/>
          <w:sz w:val="18"/>
          <w:szCs w:val="18"/>
          <w:u w:val="single"/>
          <w:lang w:eastAsia="zh-CN"/>
        </w:rPr>
        <w:t>出借、出售、</w:t>
      </w:r>
      <w:r>
        <w:rPr>
          <w:rFonts w:hint="eastAsia" w:ascii="仿宋" w:hAnsi="仿宋" w:eastAsia="仿宋" w:cs="仿宋"/>
          <w:b/>
          <w:bCs/>
          <w:sz w:val="18"/>
          <w:szCs w:val="18"/>
          <w:u w:val="single"/>
        </w:rPr>
        <w:t>转让给任何第三方使用。</w:t>
      </w:r>
    </w:p>
    <w:p>
      <w:pPr>
        <w:adjustRightInd w:val="0"/>
        <w:snapToGrid w:val="0"/>
        <w:spacing w:line="240" w:lineRule="auto"/>
        <w:ind w:firstLine="360" w:firstLineChars="200"/>
        <w:rPr>
          <w:rFonts w:ascii="仿宋" w:hAnsi="仿宋" w:eastAsia="仿宋" w:cs="仿宋"/>
          <w:b/>
          <w:bCs/>
          <w:sz w:val="18"/>
          <w:szCs w:val="18"/>
        </w:rPr>
      </w:pPr>
      <w:r>
        <w:rPr>
          <w:rFonts w:hint="eastAsia" w:ascii="仿宋" w:hAnsi="仿宋" w:eastAsia="仿宋" w:cs="仿宋"/>
          <w:sz w:val="18"/>
          <w:szCs w:val="18"/>
        </w:rPr>
        <w:t>4.</w:t>
      </w:r>
      <w:r>
        <w:rPr>
          <w:rFonts w:hint="eastAsia" w:ascii="仿宋" w:hAnsi="仿宋" w:eastAsia="仿宋" w:cs="仿宋"/>
          <w:sz w:val="18"/>
          <w:szCs w:val="18"/>
          <w:lang w:val="en-US" w:eastAsia="zh-CN"/>
        </w:rPr>
        <w:t>10</w:t>
      </w:r>
      <w:r>
        <w:rPr>
          <w:rFonts w:hint="eastAsia" w:ascii="仿宋" w:hAnsi="仿宋" w:eastAsia="仿宋" w:cs="仿宋"/>
          <w:sz w:val="18"/>
          <w:szCs w:val="18"/>
        </w:rPr>
        <w:t xml:space="preserve"> 乙方为甲方提供的网络支付服务仅限甲方使用，甲方不得以任何方式委托或转让给他人使用。</w:t>
      </w:r>
      <w:r>
        <w:rPr>
          <w:rFonts w:hint="eastAsia" w:ascii="仿宋" w:hAnsi="仿宋" w:eastAsia="仿宋" w:cs="仿宋"/>
          <w:b/>
          <w:bCs/>
          <w:sz w:val="18"/>
          <w:szCs w:val="18"/>
          <w:u w:val="single"/>
        </w:rPr>
        <w:t>甲方不得从事资金结算服务，不得发展二级商户或下游商户并向其开展资金结算。</w:t>
      </w:r>
    </w:p>
    <w:p>
      <w:pPr>
        <w:adjustRightInd w:val="0"/>
        <w:snapToGrid w:val="0"/>
        <w:spacing w:line="240" w:lineRule="auto"/>
        <w:ind w:firstLine="360" w:firstLineChars="200"/>
        <w:rPr>
          <w:rFonts w:hint="eastAsia" w:ascii="仿宋" w:hAnsi="仿宋" w:eastAsia="仿宋" w:cs="仿宋"/>
          <w:sz w:val="18"/>
          <w:szCs w:val="18"/>
        </w:rPr>
      </w:pPr>
      <w:r>
        <w:rPr>
          <w:rFonts w:hint="eastAsia" w:ascii="仿宋" w:hAnsi="仿宋" w:eastAsia="仿宋" w:cs="仿宋"/>
          <w:sz w:val="18"/>
          <w:szCs w:val="18"/>
        </w:rPr>
        <w:t>4.1</w:t>
      </w:r>
      <w:r>
        <w:rPr>
          <w:rFonts w:hint="eastAsia" w:ascii="仿宋" w:hAnsi="仿宋" w:eastAsia="仿宋" w:cs="仿宋"/>
          <w:sz w:val="18"/>
          <w:szCs w:val="18"/>
          <w:lang w:val="en-US" w:eastAsia="zh-CN"/>
        </w:rPr>
        <w:t>1</w:t>
      </w:r>
      <w:r>
        <w:rPr>
          <w:rFonts w:hint="eastAsia" w:ascii="仿宋" w:hAnsi="仿宋" w:eastAsia="仿宋" w:cs="仿宋"/>
          <w:sz w:val="18"/>
          <w:szCs w:val="18"/>
        </w:rPr>
        <w:t xml:space="preserve"> 甲方使用乙方网络支付服务，应严格遵照《中华人民共和国消费者权益保护法》、《中华人民共和国网络安全法》、《国务院办公厅关于加强金融消费者权益保护工作的指导意见》、《中国人民银行金融消费者权益保护实施办法》等法规制度，履行金融消费者权益保护要求及个人金融信息保护职责和保密义务。</w:t>
      </w:r>
    </w:p>
    <w:p>
      <w:pPr>
        <w:adjustRightInd w:val="0"/>
        <w:snapToGrid w:val="0"/>
        <w:spacing w:line="240" w:lineRule="auto"/>
        <w:ind w:firstLine="361" w:firstLineChars="200"/>
        <w:rPr>
          <w:rFonts w:hint="eastAsia" w:ascii="仿宋" w:hAnsi="仿宋" w:eastAsia="仿宋" w:cs="仿宋"/>
          <w:b/>
          <w:bCs/>
          <w:sz w:val="18"/>
          <w:szCs w:val="18"/>
          <w:u w:val="single"/>
        </w:rPr>
      </w:pPr>
      <w:r>
        <w:rPr>
          <w:rFonts w:hint="eastAsia" w:ascii="仿宋" w:hAnsi="仿宋" w:eastAsia="仿宋" w:cs="仿宋"/>
          <w:b/>
          <w:bCs/>
          <w:sz w:val="18"/>
          <w:szCs w:val="18"/>
          <w:lang w:val="en-US" w:eastAsia="zh-CN"/>
        </w:rPr>
        <w:t xml:space="preserve">4.12 </w:t>
      </w:r>
      <w:r>
        <w:rPr>
          <w:rFonts w:hint="eastAsia" w:ascii="仿宋" w:hAnsi="仿宋" w:eastAsia="仿宋" w:cs="仿宋"/>
          <w:b/>
          <w:bCs/>
          <w:sz w:val="18"/>
          <w:szCs w:val="18"/>
          <w:u w:val="single"/>
        </w:rPr>
        <w:t>为保障消费者合法权益，对于不能有效证明因用户原因导致的资金损失，甲方应当及时先行全额赔付。乙方已先行赔付的，甲方应当向乙方支付相应赔付款项，甲方拒绝支付且业务保证金和待结算款也不足以扣取相应款项的，乙方有权暂停或停</w:t>
      </w:r>
      <w:bookmarkStart w:id="0" w:name="_GoBack"/>
      <w:bookmarkEnd w:id="0"/>
      <w:r>
        <w:rPr>
          <w:rFonts w:hint="eastAsia" w:ascii="仿宋" w:hAnsi="仿宋" w:eastAsia="仿宋" w:cs="仿宋"/>
          <w:b/>
          <w:bCs/>
          <w:sz w:val="18"/>
          <w:szCs w:val="18"/>
          <w:u w:val="single"/>
        </w:rPr>
        <w:t>止向甲方提供协议项下的服务，并有权向甲方进行追偿，因乙方原因导致的资金损失除外。</w:t>
      </w:r>
    </w:p>
    <w:p>
      <w:pPr>
        <w:adjustRightInd w:val="0"/>
        <w:snapToGrid w:val="0"/>
        <w:spacing w:line="240" w:lineRule="auto"/>
        <w:ind w:firstLine="361" w:firstLineChars="200"/>
        <w:rPr>
          <w:rFonts w:hint="default" w:ascii="仿宋" w:hAnsi="仿宋" w:eastAsia="仿宋" w:cs="仿宋"/>
          <w:b/>
          <w:bCs/>
          <w:sz w:val="18"/>
          <w:szCs w:val="18"/>
          <w:lang w:val="en-US" w:eastAsia="zh-CN"/>
        </w:rPr>
      </w:pPr>
      <w:r>
        <w:rPr>
          <w:rFonts w:hint="eastAsia" w:ascii="仿宋" w:hAnsi="仿宋" w:eastAsia="仿宋" w:cs="仿宋"/>
          <w:b/>
          <w:bCs/>
          <w:sz w:val="18"/>
          <w:szCs w:val="18"/>
          <w:u w:val="single"/>
        </w:rPr>
        <w:t>4.1</w:t>
      </w:r>
      <w:r>
        <w:rPr>
          <w:rFonts w:hint="eastAsia" w:ascii="仿宋" w:hAnsi="仿宋" w:eastAsia="仿宋" w:cs="仿宋"/>
          <w:b/>
          <w:bCs/>
          <w:sz w:val="18"/>
          <w:szCs w:val="18"/>
          <w:u w:val="single"/>
          <w:lang w:val="en-US" w:eastAsia="zh-CN"/>
        </w:rPr>
        <w:t>3乙方有权根据国家法律法规、规章制度、行业规范、监管政策和要求的规定，对甲方的支付账户（如有）的数量、类别、限额、功能进行调整，调整的方式将根据甲方的支付账户风险管理情况而定，若甲方已依法申请调整并审核通过的，以审核通过的内容为准。</w:t>
      </w:r>
    </w:p>
    <w:p>
      <w:pPr>
        <w:adjustRightInd w:val="0"/>
        <w:snapToGrid w:val="0"/>
        <w:spacing w:line="240" w:lineRule="auto"/>
        <w:ind w:firstLine="361" w:firstLineChars="200"/>
        <w:rPr>
          <w:rFonts w:ascii="仿宋" w:hAnsi="仿宋" w:eastAsia="仿宋" w:cs="仿宋"/>
          <w:b/>
          <w:bCs/>
          <w:sz w:val="18"/>
          <w:szCs w:val="18"/>
          <w:u w:val="single"/>
        </w:rPr>
      </w:pP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交易受理与处理</w:t>
      </w:r>
    </w:p>
    <w:p>
      <w:pPr>
        <w:adjustRightInd w:val="0"/>
        <w:snapToGrid w:val="0"/>
        <w:spacing w:line="240" w:lineRule="auto"/>
        <w:ind w:firstLine="360" w:firstLineChars="200"/>
        <w:rPr>
          <w:rFonts w:ascii="仿宋" w:hAnsi="仿宋" w:eastAsia="仿宋" w:cs="仿宋"/>
          <w:b/>
          <w:bCs/>
          <w:sz w:val="18"/>
          <w:szCs w:val="18"/>
          <w:u w:val="single"/>
        </w:rPr>
      </w:pPr>
      <w:r>
        <w:rPr>
          <w:rFonts w:hint="eastAsia" w:ascii="仿宋" w:hAnsi="仿宋" w:eastAsia="仿宋" w:cs="仿宋"/>
          <w:sz w:val="18"/>
          <w:szCs w:val="18"/>
        </w:rPr>
        <w:t>5.1 基于甲方与用户销售商品或提供服务及其他交易产生的收付款需求而发起的支付交易，甲方应当按照支付业务法律法规，卡组织、清算机构与开户机构制定的规则，以及协议文件的约定和乙方业务受理要求规范受理支付交易，并接受乙方的指导和监督。</w:t>
      </w:r>
      <w:r>
        <w:rPr>
          <w:rFonts w:hint="eastAsia" w:ascii="仿宋" w:hAnsi="仿宋" w:eastAsia="仿宋" w:cs="仿宋"/>
          <w:b/>
          <w:bCs/>
          <w:sz w:val="18"/>
          <w:szCs w:val="18"/>
          <w:u w:val="single"/>
        </w:rPr>
        <w:t>因甲方违规、违反协议约定或未按乙方业务受理要求规范受理支付交易造成的风险责任和相关损失由甲方承担。</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5.2 甲方应确保甲方工作人员经乙方业务培训合格后才能处理网络支付业务。甲方工作人员变更，应及时通知乙方对其进行培训。乙方可以采取的培训形式包括但不限于集中培训、现场培训、电话或视频培训、网站或APP在线培训。</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5.3 甲方受理网络支付交易应遵守以下要求：</w:t>
      </w:r>
    </w:p>
    <w:p>
      <w:pPr>
        <w:adjustRightInd w:val="0"/>
        <w:snapToGrid w:val="0"/>
        <w:spacing w:line="240" w:lineRule="auto"/>
        <w:ind w:firstLine="360" w:firstLineChars="200"/>
        <w:rPr>
          <w:rFonts w:hint="eastAsia" w:ascii="仿宋" w:hAnsi="仿宋" w:eastAsia="仿宋" w:cs="仿宋"/>
          <w:sz w:val="18"/>
          <w:szCs w:val="18"/>
          <w:lang w:eastAsia="zh-CN"/>
        </w:rPr>
      </w:pPr>
      <w:r>
        <w:rPr>
          <w:rFonts w:hint="eastAsia" w:ascii="仿宋" w:hAnsi="仿宋" w:eastAsia="仿宋" w:cs="仿宋"/>
          <w:sz w:val="18"/>
          <w:szCs w:val="18"/>
        </w:rPr>
        <w:t>（1）甲方负责位于其端的系统维护和安全工作，采用完善、有效的监控手段，保证能及时、准确、真实地向乙方传送或接收乙方传送的数据等信息。</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2）甲方应严格遵循乙方的操作规程和相关要求使用乙方所提供的服务；不得采用任何手段截获用户的银行卡或支付账户信息，代替用户提交订单等；未经乙方书面同意，亦不得擅自使用乙方提供的支付接口为任何第三方提供支付服务。</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（3）甲方</w:t>
      </w:r>
      <w:r>
        <w:rPr>
          <w:rFonts w:hint="eastAsia" w:ascii="仿宋" w:hAnsi="仿宋" w:eastAsia="仿宋" w:cs="仿宋"/>
          <w:sz w:val="18"/>
          <w:szCs w:val="18"/>
          <w:lang w:val="en-US" w:eastAsia="zh-CN"/>
        </w:rPr>
        <w:t>可以</w:t>
      </w:r>
      <w:r>
        <w:rPr>
          <w:rFonts w:hint="eastAsia" w:ascii="仿宋" w:hAnsi="仿宋" w:eastAsia="仿宋" w:cs="仿宋"/>
          <w:sz w:val="18"/>
          <w:szCs w:val="18"/>
        </w:rPr>
        <w:t>在其网站及宣传材料上对乙方的支付服务做宣传介绍和说明，并</w:t>
      </w:r>
      <w:r>
        <w:rPr>
          <w:rFonts w:hint="eastAsia" w:ascii="仿宋" w:hAnsi="仿宋" w:eastAsia="仿宋" w:cs="仿宋"/>
          <w:sz w:val="18"/>
          <w:szCs w:val="18"/>
          <w:lang w:val="en-US" w:eastAsia="zh-CN"/>
        </w:rPr>
        <w:t>可以</w:t>
      </w:r>
      <w:r>
        <w:rPr>
          <w:rFonts w:hint="eastAsia" w:ascii="仿宋" w:hAnsi="仿宋" w:eastAsia="仿宋" w:cs="仿宋"/>
          <w:sz w:val="18"/>
          <w:szCs w:val="18"/>
        </w:rPr>
        <w:t>在该宣传介绍或说明页面嵌入由乙方提供的标识。使用乙方支付服务，甲方须在其网站的支付提交页面显著位置嵌入由乙方提供的标识图形链接。甲方有义务配合乙方标识的规范管理和使用，若乙方标识使用规范发生变更时，甲方应给予积极配合。甲方应在协议文件终止的同时（无论何种原因终止），终止对乙方所提供的标识使用，并将其网站上的乙方所提供的标识及与甲方有关的宣传介绍、说明等全部删除。</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（4）甲方交易报文中应包括但不限于物品所属种类、是否存在物流的标识、客户发起交易的IP地址等信息。</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（5）甲方保证及时、准确、真实地向用户展示乙方传送的应告知用户的支付信息，以便用户核实确认。</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5.4 甲方承诺不以任何理由拒绝任何用户的合法交易或对任何用户的合法交易人为设置障碍，不因支付方式不同而向用户收取额外的费用或提供低于采用现金支付水平的服务，不将交易手续费以任何形式转嫁给用户。</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 xml:space="preserve">5.5 </w:t>
      </w:r>
      <w:r>
        <w:rPr>
          <w:rFonts w:hint="eastAsia" w:ascii="仿宋" w:hAnsi="仿宋" w:eastAsia="仿宋" w:cs="仿宋"/>
          <w:b/>
          <w:bCs/>
          <w:sz w:val="18"/>
          <w:szCs w:val="18"/>
        </w:rPr>
        <w:t>甲方不得主动进行或协助用户进行套现、洗钱、交易分单、刷单、欺诈等违法经营行为。</w:t>
      </w:r>
      <w:r>
        <w:rPr>
          <w:rFonts w:hint="eastAsia" w:ascii="仿宋" w:hAnsi="仿宋" w:eastAsia="仿宋" w:cs="仿宋"/>
          <w:sz w:val="18"/>
          <w:szCs w:val="18"/>
        </w:rPr>
        <w:t>交易过程中，甲方应防范不真实、欺诈、盗刷、伪冒交易、用户否认交易、用户拒付、用户账户错误或信息泄露的风险，及时解决用户服务中出现的问题。</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5.6 甲方应对其发起交易的IP地址拥有合法权利并提前向乙方报备。</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5.7</w:t>
      </w:r>
      <w:r>
        <w:rPr>
          <w:rFonts w:hint="eastAsia" w:ascii="仿宋" w:hAnsi="仿宋" w:eastAsia="仿宋" w:cs="仿宋"/>
          <w:sz w:val="18"/>
          <w:szCs w:val="18"/>
          <w:u w:val="single"/>
        </w:rPr>
        <w:t xml:space="preserve"> </w:t>
      </w:r>
      <w:r>
        <w:rPr>
          <w:rFonts w:hint="eastAsia" w:ascii="仿宋" w:hAnsi="仿宋" w:eastAsia="仿宋" w:cs="仿宋"/>
          <w:b/>
          <w:bCs/>
          <w:sz w:val="18"/>
          <w:szCs w:val="18"/>
          <w:u w:val="single"/>
        </w:rPr>
        <w:t>甲方应保证基于真实的商品或服务交易背景发起支付交易，甲方的交易电子数据或单据中应记录包括但不限于以下信息：商户名称，订购产品的产品名称、产品编号、产品单价、合计索取价格、配送信息。</w:t>
      </w:r>
      <w:r>
        <w:rPr>
          <w:rFonts w:hint="eastAsia" w:ascii="仿宋" w:hAnsi="仿宋" w:eastAsia="仿宋" w:cs="仿宋"/>
          <w:sz w:val="18"/>
          <w:szCs w:val="18"/>
        </w:rPr>
        <w:t>甲方妥善保存交易产生的相关数据、信息和资料，保存期限自交易日起不少于5年，若发生用户否认交易、拒付，乙方及有权机关、监管部门、行业协会、开户机构、卡组织、清算机构核查的，甲方应积极协助乙方提供相关交易记录或凭证。</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5.8 乙方可以向甲方查询网络支付业务交易情况，并调取相关交易证明材料。甲方收到乙方的调单要求后，应根据乙方要求提供真实的交易情况，对于银行卡支付交易，甲方应自乙方通知之日（含）起3个工作日内提供有效交易证明材料，对于条码支付交易，甲方应自乙方通知之日（含）起1个工作日内提供有效交易证明材料。</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5.9 甲方向乙方传递甲方或甲方用户发起的支付交易指令，甲方应保证操作正确无误和所传递交易指令信息的真实性、合法性、准确性和完整性，</w:t>
      </w:r>
      <w:r>
        <w:rPr>
          <w:rFonts w:hint="eastAsia" w:ascii="仿宋" w:hAnsi="仿宋" w:eastAsia="仿宋" w:cs="仿宋"/>
          <w:b/>
          <w:bCs/>
          <w:sz w:val="18"/>
          <w:szCs w:val="18"/>
          <w:u w:val="single"/>
        </w:rPr>
        <w:t>乙方仅根据收到的交易数据和指令进行转接处理，就交易数据和指令的真实性、合法性、准确性和完整性不承担核实责任。</w:t>
      </w:r>
    </w:p>
    <w:p>
      <w:pPr>
        <w:adjustRightInd w:val="0"/>
        <w:snapToGrid w:val="0"/>
        <w:spacing w:line="240" w:lineRule="auto"/>
        <w:ind w:firstLine="360" w:firstLineChars="200"/>
        <w:rPr>
          <w:rFonts w:ascii="仿宋" w:hAnsi="仿宋" w:eastAsia="仿宋" w:cs="仿宋"/>
          <w:b/>
          <w:bCs/>
          <w:sz w:val="18"/>
          <w:szCs w:val="18"/>
          <w:u w:val="single"/>
        </w:rPr>
      </w:pPr>
      <w:r>
        <w:rPr>
          <w:rFonts w:hint="eastAsia" w:ascii="仿宋" w:hAnsi="仿宋" w:eastAsia="仿宋" w:cs="仿宋"/>
          <w:sz w:val="18"/>
          <w:szCs w:val="18"/>
        </w:rPr>
        <w:t>5.10 在甲方接收到乙方系统反馈的指令处理状态时，除非乙方系统明确反馈该指令处理成功或失败，否则甲方应等待乙方明确反馈或主动向乙方确认指令处理状态，以便决定是否重新发送支付指令或向用户确认收付款。</w:t>
      </w:r>
      <w:r>
        <w:rPr>
          <w:rFonts w:hint="eastAsia" w:ascii="仿宋" w:hAnsi="仿宋" w:eastAsia="仿宋" w:cs="仿宋"/>
          <w:b/>
          <w:bCs/>
          <w:sz w:val="18"/>
          <w:szCs w:val="18"/>
          <w:u w:val="single"/>
        </w:rPr>
        <w:t>若未按照本款约定操作，直接选择重新发送指令导致多支付或重复支付或擅自确认导致未成功支付的，均由甲方自行承担并解决，乙方不承担责任，造成乙方损失甲方应予赔偿。</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5.11 乙方因系统升级、维护等需要可暂时中止向甲方提供服务，亦可根据相关实际情况改进服务，但应提前通知甲方或在网站、客户端、微信公众号的显著位置进行公告，并预告恢复日期，且应尽可能不占用甲方交易高峰时间，减少对甲方经营活动的影响。</w:t>
      </w: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资金结算</w:t>
      </w:r>
    </w:p>
    <w:p>
      <w:pPr>
        <w:adjustRightInd w:val="0"/>
        <w:snapToGrid w:val="0"/>
        <w:spacing w:line="240" w:lineRule="auto"/>
        <w:ind w:firstLine="360" w:firstLineChars="200"/>
        <w:rPr>
          <w:rFonts w:ascii="仿宋" w:hAnsi="仿宋" w:eastAsia="仿宋" w:cs="仿宋"/>
          <w:sz w:val="18"/>
          <w:szCs w:val="18"/>
          <w:u w:val="single"/>
        </w:rPr>
      </w:pPr>
      <w:r>
        <w:rPr>
          <w:rFonts w:hint="eastAsia" w:ascii="仿宋" w:hAnsi="仿宋" w:eastAsia="仿宋" w:cs="仿宋"/>
          <w:sz w:val="18"/>
          <w:szCs w:val="18"/>
        </w:rPr>
        <w:t>6.1 甲方应完整、准确地向乙方提供甲方交易资金结算账户信息，乙方依据甲方提供的账户信息为甲方提供交易资金结算。甲方变更交易资金结算账户的，应当以纸质文件和乙方认可的电子方式提前5个工作日书面通知乙方或向乙方确认，乙方审核无误后，依据甲方变更后的账户信息为甲方提供交易资金结算。</w:t>
      </w:r>
      <w:r>
        <w:rPr>
          <w:rFonts w:hint="eastAsia" w:ascii="仿宋" w:hAnsi="仿宋" w:eastAsia="仿宋" w:cs="仿宋"/>
          <w:b/>
          <w:bCs/>
          <w:sz w:val="18"/>
          <w:szCs w:val="18"/>
          <w:u w:val="single"/>
        </w:rPr>
        <w:t>因甲方未及时联系乙方或甲方变更申请不符合监管要求，而导致的相关资金损失和风险责任由甲方承担。</w:t>
      </w:r>
    </w:p>
    <w:p>
      <w:pPr>
        <w:adjustRightInd w:val="0"/>
        <w:snapToGrid w:val="0"/>
        <w:spacing w:line="240" w:lineRule="auto"/>
        <w:ind w:firstLine="360" w:firstLineChars="200"/>
        <w:rPr>
          <w:rFonts w:ascii="仿宋" w:hAnsi="仿宋" w:eastAsia="仿宋" w:cs="仿宋"/>
          <w:b/>
          <w:bCs/>
          <w:sz w:val="18"/>
          <w:szCs w:val="18"/>
          <w:u w:val="single"/>
        </w:rPr>
      </w:pPr>
      <w:r>
        <w:rPr>
          <w:rFonts w:hint="eastAsia" w:ascii="仿宋" w:hAnsi="仿宋" w:eastAsia="仿宋" w:cs="仿宋"/>
          <w:sz w:val="18"/>
          <w:szCs w:val="18"/>
        </w:rPr>
        <w:t>6.2 甲方交易资金扣除交易手续费和其他应付乙方各项费用后，银联卡（包含银联境内卡和银联境外卡）交易资金一般为T+1方式结算，即在交易日的下一个工作日结算，国际卡交易资金一般为T+2方式结算，即在交易日的下两个工作日结算，如另有约定的以具体约定为准。</w:t>
      </w:r>
      <w:r>
        <w:rPr>
          <w:rFonts w:hint="eastAsia" w:ascii="仿宋" w:hAnsi="仿宋" w:eastAsia="仿宋" w:cs="仿宋"/>
          <w:b/>
          <w:bCs/>
          <w:sz w:val="18"/>
          <w:szCs w:val="18"/>
          <w:u w:val="single"/>
        </w:rPr>
        <w:t>如开户机构、卡组织、清算机构延迟将交易资金清算至乙方账户，乙方向甲方的资金划付相应顺延。</w:t>
      </w:r>
    </w:p>
    <w:p>
      <w:pPr>
        <w:adjustRightInd w:val="0"/>
        <w:snapToGrid w:val="0"/>
        <w:spacing w:line="240" w:lineRule="auto"/>
        <w:ind w:firstLine="360" w:firstLineChars="200"/>
        <w:rPr>
          <w:rFonts w:ascii="仿宋" w:hAnsi="仿宋" w:eastAsia="仿宋" w:cs="仿宋"/>
          <w:color w:val="000000" w:themeColor="text1"/>
          <w:sz w:val="18"/>
          <w:szCs w:val="18"/>
          <w14:textFill>
            <w14:solidFill>
              <w14:schemeClr w14:val="tx1"/>
            </w14:solidFill>
          </w14:textFill>
        </w:rPr>
      </w:pPr>
      <w:r>
        <w:rPr>
          <w:rFonts w:hint="eastAsia" w:ascii="仿宋" w:hAnsi="仿宋" w:eastAsia="仿宋" w:cs="仿宋"/>
          <w:sz w:val="18"/>
          <w:szCs w:val="18"/>
        </w:rPr>
        <w:t xml:space="preserve">6.3 </w:t>
      </w:r>
      <w:r>
        <w:rPr>
          <w:rFonts w:hint="eastAsia" w:ascii="仿宋" w:hAnsi="仿宋" w:eastAsia="仿宋" w:cs="仿宋"/>
          <w:color w:val="000000" w:themeColor="text1"/>
          <w:sz w:val="18"/>
          <w:szCs w:val="18"/>
          <w14:textFill>
            <w14:solidFill>
              <w14:schemeClr w14:val="tx1"/>
            </w14:solidFill>
          </w14:textFill>
        </w:rPr>
        <w:t>甲方可开通“交易日当日结算”或“交易日次日结算”的结算方式，具体规则以乙方实际执行为准。甲方申请上述结算方式的，是否开通、具体开通时间（通常为使用乙方支付服务满90天且连续正常交易满30天）以及额度由乙方审查后确定，且乙方根据甲方业务开展情况和风险程度有权随时调整额度或关闭上述结算方式。对于甲方超出上述结算方式额度的交易资金或由于系统等原因未能在时限内进行结算的交易资金，乙方可按照常规方式结算，且就相应结算资金不向甲方收取上述结算方式的服务费。</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 xml:space="preserve">6.4 </w:t>
      </w:r>
      <w:r>
        <w:rPr>
          <w:rFonts w:hint="eastAsia" w:ascii="仿宋" w:hAnsi="仿宋" w:eastAsia="仿宋" w:cs="仿宋"/>
          <w:b/>
          <w:bCs/>
          <w:sz w:val="18"/>
          <w:szCs w:val="18"/>
          <w:u w:val="single"/>
        </w:rPr>
        <w:t>甲方应每日核对支付交易结算资金，存在差错或不一致时应于交易日后5个工作日内与乙方联系。因甲方未及时联系乙方而导致的短款交易最终无法追偿所造成的风险责任和相关损失由甲方承担。</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6.5 发生以下情况时，乙方可以从甲方应收的交易资金中抵扣相应款项。如甲方交易资金不足抵扣时，甲方应补足差额付至乙方指定账户；经乙方通知补足差额的，甲方应自通知之日（含）起5个工作日内补足。</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（1）开户机构退单；</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（2）甲方发生退货交易；</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（3）由于计算错误或其他原因导致乙方向甲方多支付的款项或其他经甲方确认的长款；</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（4）其他应由甲方支付的款项。</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对因以上原因造成的乙方垫款，乙方有权向甲方追索。</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6.6 在相关法律法规和监管部门允许范围内，在不降低服务品质的前提下，为提高乙方为甲方服务的效率，甲方的交易结算资金可由乙方总公司或乙方总公司安排的其他分公司或其他关联公司进行处理。</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 xml:space="preserve">6.7 若甲方开通分账业务，甲乙双方应当遵循以下约定： </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（1）甲方作为交易和分账指令的发起方，应当及时向乙方发送分账指令，甲方未及时发送分账指令产生的责任由甲方承担；</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（2）甲方超过30天未发起分账指令的，乙方有权将交易资金直接向双方约定的收款方账户自动结算，而不做分账处理，因此产生与供应商、推广商、代理商等分润主体之间的纠纷和责任，由甲方负责解决和承担；</w:t>
      </w:r>
    </w:p>
    <w:p>
      <w:pPr>
        <w:adjustRightInd w:val="0"/>
        <w:snapToGrid w:val="0"/>
        <w:spacing w:line="240" w:lineRule="auto"/>
        <w:ind w:firstLine="360" w:firstLineChars="200"/>
        <w:rPr>
          <w:rFonts w:ascii="仿宋" w:hAnsi="仿宋" w:eastAsia="仿宋" w:cs="仿宋"/>
          <w:sz w:val="18"/>
          <w:szCs w:val="18"/>
          <w:highlight w:val="yellow"/>
        </w:rPr>
      </w:pPr>
      <w:r>
        <w:rPr>
          <w:rFonts w:hint="eastAsia" w:ascii="仿宋" w:hAnsi="仿宋" w:eastAsia="仿宋" w:cs="仿宋"/>
          <w:sz w:val="18"/>
          <w:szCs w:val="18"/>
        </w:rPr>
        <w:t>（3）乙方有义务根据甲方发送的分账指令，按约定将交易资金向甲方的供应商、推广商、代理商等分润主体进行分账处理，乙方未按约定进行分账的责任由乙方承担。</w:t>
      </w: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差错争议及投诉处理</w:t>
      </w:r>
    </w:p>
    <w:p>
      <w:pPr>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 xml:space="preserve">7.1 乙方应当为甲方提供交易明细查询、对账、差错处理服务，妥善处理与甲方之间发生的差错争议和纠纷投诉，做好协调和解释工作，并及时告知甲方结果。甲方核对汇总和明细对账单发现不符的，乙方应分析差错原因，并根据情况及时进行处理。 </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7.2 对经确认的差错或甲方需调整的账务，乙方负责为甲方提供差错业务处理服务。开户机构、卡组织、清算机构等就差错交易收取的手续费由甲方承担；对于退货交易涉及的原交易手续费，乙方将根据监管部门、开户机构、卡组织、清算机构等机构对乙方的退还规则向甲方处理；因处理退单交易，如再请款、争议裁判、申诉等，开户机构、卡组织、清算机构收取的费用由甲方承担。</w:t>
      </w:r>
    </w:p>
    <w:p>
      <w:pPr>
        <w:adjustRightInd w:val="0"/>
        <w:snapToGrid w:val="0"/>
        <w:spacing w:line="240" w:lineRule="auto"/>
        <w:ind w:firstLine="360" w:firstLineChars="200"/>
        <w:rPr>
          <w:rFonts w:ascii="仿宋" w:hAnsi="仿宋" w:eastAsia="仿宋" w:cs="仿宋"/>
          <w:b/>
          <w:bCs/>
          <w:sz w:val="18"/>
          <w:szCs w:val="18"/>
        </w:rPr>
      </w:pPr>
      <w:r>
        <w:rPr>
          <w:rFonts w:hint="eastAsia" w:ascii="仿宋" w:hAnsi="仿宋" w:eastAsia="仿宋" w:cs="仿宋"/>
          <w:sz w:val="18"/>
          <w:szCs w:val="18"/>
        </w:rPr>
        <w:t>7.3</w:t>
      </w:r>
      <w:r>
        <w:rPr>
          <w:rFonts w:hint="eastAsia" w:ascii="仿宋" w:hAnsi="仿宋" w:eastAsia="仿宋" w:cs="仿宋"/>
          <w:b/>
          <w:bCs/>
          <w:sz w:val="18"/>
          <w:szCs w:val="18"/>
          <w:u w:val="single"/>
        </w:rPr>
        <w:t xml:space="preserve"> 如因甲方信息错误或虚假，证照过期、无效或虚假，操作不规范，交易违法、虚假，交易指令真实性、合法性、准确性或完整性存在问题，交易背景不真实，未按时提供有效交易证明材料，商品或服务交付有问题，或存在其他违反开户机构、卡组织、清算机构和乙方规定的情形，导致开户机构退单、用户拒付或要求退款的，甲方无权要求乙方结算该支付交易对应的款项，乙方已经结算的，甲方应无条件向乙方退还，乙方亦有权从甲方其他交易结算资金中扣除，若造成乙方或用户损失的，甲方应予全额赔偿</w:t>
      </w:r>
      <w:r>
        <w:rPr>
          <w:rFonts w:hint="eastAsia" w:ascii="仿宋" w:hAnsi="仿宋" w:eastAsia="仿宋" w:cs="仿宋"/>
          <w:b/>
          <w:bCs/>
          <w:sz w:val="18"/>
          <w:szCs w:val="18"/>
          <w:u w:val="single"/>
          <w:lang w:eastAsia="zh-CN"/>
        </w:rPr>
        <w:t>，同时</w:t>
      </w:r>
      <w:r>
        <w:rPr>
          <w:rFonts w:hint="eastAsia" w:ascii="仿宋" w:hAnsi="仿宋" w:eastAsia="仿宋" w:cs="仿宋"/>
          <w:b/>
          <w:bCs/>
          <w:sz w:val="18"/>
          <w:szCs w:val="18"/>
          <w:u w:val="single"/>
        </w:rPr>
        <w:t>乙方有权</w:t>
      </w:r>
      <w:r>
        <w:rPr>
          <w:rFonts w:hint="eastAsia" w:ascii="仿宋" w:hAnsi="仿宋" w:eastAsia="仿宋" w:cs="仿宋"/>
          <w:b/>
          <w:bCs/>
          <w:sz w:val="18"/>
          <w:szCs w:val="18"/>
          <w:u w:val="single"/>
          <w:lang w:eastAsia="zh-CN"/>
        </w:rPr>
        <w:t>立即暂停、</w:t>
      </w:r>
      <w:r>
        <w:rPr>
          <w:rFonts w:hint="eastAsia" w:ascii="仿宋" w:hAnsi="仿宋" w:eastAsia="仿宋" w:cs="仿宋"/>
          <w:b/>
          <w:bCs/>
          <w:sz w:val="18"/>
          <w:szCs w:val="18"/>
          <w:u w:val="single"/>
        </w:rPr>
        <w:t>中止/终止甲方开通的业务或终止</w:t>
      </w:r>
      <w:r>
        <w:rPr>
          <w:rFonts w:hint="eastAsia" w:ascii="仿宋" w:hAnsi="仿宋" w:eastAsia="仿宋" w:cs="仿宋"/>
          <w:b/>
          <w:bCs/>
          <w:sz w:val="18"/>
          <w:szCs w:val="18"/>
          <w:u w:val="single"/>
          <w:lang w:eastAsia="zh-CN"/>
        </w:rPr>
        <w:t>本</w:t>
      </w:r>
      <w:r>
        <w:rPr>
          <w:rFonts w:hint="eastAsia" w:ascii="仿宋" w:hAnsi="仿宋" w:eastAsia="仿宋" w:cs="仿宋"/>
          <w:b/>
          <w:bCs/>
          <w:sz w:val="18"/>
          <w:szCs w:val="18"/>
          <w:u w:val="single"/>
        </w:rPr>
        <w:t>协议。</w:t>
      </w:r>
    </w:p>
    <w:p>
      <w:pPr>
        <w:adjustRightInd w:val="0"/>
        <w:snapToGrid w:val="0"/>
        <w:spacing w:line="240" w:lineRule="auto"/>
        <w:ind w:firstLine="360" w:firstLineChars="200"/>
        <w:rPr>
          <w:rFonts w:ascii="仿宋" w:hAnsi="仿宋" w:eastAsia="仿宋" w:cs="仿宋"/>
          <w:b/>
          <w:bCs/>
          <w:sz w:val="18"/>
          <w:szCs w:val="18"/>
          <w:u w:val="single"/>
        </w:rPr>
      </w:pPr>
      <w:r>
        <w:rPr>
          <w:rFonts w:hint="eastAsia" w:ascii="仿宋" w:hAnsi="仿宋" w:eastAsia="仿宋" w:cs="仿宋"/>
          <w:sz w:val="18"/>
          <w:szCs w:val="18"/>
        </w:rPr>
        <w:t>7.4 甲方给用户办理退货的，不得向用户支付现金，应使用向乙方申请退货或申请调账退款功能，将交易资金退还至交易发生的银行卡、支付账户等原支付渠道，甲方应按照乙方的要求提交调账（退货）书面申请，以及相关交易证明材料；甲方发生长款或退货交易时，应按乙方要求将长款或退货资金足额退还乙方；如乙方出现短款时，以乙方系统数据为准据实调整。</w:t>
      </w:r>
      <w:r>
        <w:rPr>
          <w:rFonts w:hint="eastAsia" w:ascii="仿宋" w:hAnsi="仿宋" w:eastAsia="仿宋" w:cs="仿宋"/>
          <w:b/>
          <w:bCs/>
          <w:sz w:val="18"/>
          <w:szCs w:val="18"/>
          <w:u w:val="single"/>
        </w:rPr>
        <w:t>因甲方未按乙方要求进行差错业务处理造成的相关损失和责任由甲方承担。</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7.5 甲方向乙方申请发起手工退货、贷记调整等交易前，应向乙方指定账户足额支付退货或贷记调整金额的款项，否则造成退货、贷记调整不成功的由甲方自行处理和承担后果。</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7.6 当甲方与用户在出售商品的质量、数量或提供服务方面发生争议纠纷时，应由甲方与用户直接解决。对于有争议的交易乙方有权按卡组织、清算机构的差错处理规则和流程进行处理。</w:t>
      </w:r>
      <w:r>
        <w:rPr>
          <w:rFonts w:hint="eastAsia" w:ascii="仿宋" w:hAnsi="仿宋" w:eastAsia="仿宋" w:cs="仿宋"/>
          <w:b/>
          <w:bCs/>
          <w:sz w:val="18"/>
          <w:szCs w:val="18"/>
          <w:u w:val="single"/>
        </w:rPr>
        <w:t>用户向有权机关、监管部门、行业协会、开户机构、卡组织、清算机构或乙方投诉甲方的，乙方有权要求甲方及时妥善解决或采取完善补救措施，甲方未能及时解决的，乙方有权视情况中止/终止甲方开通的业务或终止</w:t>
      </w:r>
      <w:r>
        <w:rPr>
          <w:rFonts w:hint="eastAsia" w:ascii="仿宋" w:hAnsi="仿宋" w:eastAsia="仿宋" w:cs="仿宋"/>
          <w:b/>
          <w:bCs/>
          <w:sz w:val="18"/>
          <w:szCs w:val="18"/>
          <w:u w:val="single"/>
          <w:lang w:eastAsia="zh-CN"/>
        </w:rPr>
        <w:t>本</w:t>
      </w:r>
      <w:r>
        <w:rPr>
          <w:rFonts w:hint="eastAsia" w:ascii="仿宋" w:hAnsi="仿宋" w:eastAsia="仿宋" w:cs="仿宋"/>
          <w:b/>
          <w:bCs/>
          <w:sz w:val="18"/>
          <w:szCs w:val="18"/>
          <w:u w:val="single"/>
        </w:rPr>
        <w:t>协议。</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7.7 如甲方违反法律法规、对用户的承诺或与乙方的约定等造成乙方或用户损失的，甲方应解决上述情况而导致的索赔等纠纷；</w:t>
      </w:r>
      <w:r>
        <w:rPr>
          <w:rFonts w:hint="eastAsia" w:ascii="仿宋" w:hAnsi="仿宋" w:eastAsia="仿宋" w:cs="仿宋"/>
          <w:b/>
          <w:bCs/>
          <w:sz w:val="18"/>
          <w:szCs w:val="18"/>
          <w:u w:val="single"/>
        </w:rPr>
        <w:t>若甲方怠于解决，乙方有权根据自身独立的判断直接从乙方的后续交易款项中扣取与上述损失金额同等的金额。甲方的账户余额或待结算款不足以抵扣损失金额时，乙方有权立即暂停、中止/终止甲方开通的业务或终止</w:t>
      </w:r>
      <w:r>
        <w:rPr>
          <w:rFonts w:hint="eastAsia" w:ascii="仿宋" w:hAnsi="仿宋" w:eastAsia="仿宋" w:cs="仿宋"/>
          <w:b/>
          <w:bCs/>
          <w:sz w:val="18"/>
          <w:szCs w:val="18"/>
          <w:u w:val="single"/>
          <w:lang w:eastAsia="zh-CN"/>
        </w:rPr>
        <w:t>本</w:t>
      </w:r>
      <w:r>
        <w:rPr>
          <w:rFonts w:hint="eastAsia" w:ascii="仿宋" w:hAnsi="仿宋" w:eastAsia="仿宋" w:cs="仿宋"/>
          <w:b/>
          <w:bCs/>
          <w:sz w:val="18"/>
          <w:szCs w:val="18"/>
          <w:u w:val="single"/>
        </w:rPr>
        <w:t>协议，同时保留向甲方追索剩余损失的权利。</w:t>
      </w: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风险控制与合规管理</w:t>
      </w:r>
    </w:p>
    <w:p>
      <w:pPr>
        <w:adjustRightInd w:val="0"/>
        <w:snapToGrid w:val="0"/>
        <w:spacing w:line="240" w:lineRule="auto"/>
        <w:ind w:firstLine="360" w:firstLineChars="200"/>
        <w:rPr>
          <w:rFonts w:ascii="仿宋" w:hAnsi="仿宋" w:eastAsia="仿宋" w:cs="仿宋"/>
          <w:sz w:val="18"/>
          <w:szCs w:val="18"/>
          <w:highlight w:val="yellow"/>
        </w:rPr>
      </w:pPr>
      <w:r>
        <w:rPr>
          <w:rFonts w:hint="eastAsia" w:ascii="仿宋" w:hAnsi="仿宋" w:eastAsia="仿宋" w:cs="仿宋"/>
          <w:sz w:val="18"/>
          <w:szCs w:val="18"/>
        </w:rPr>
        <w:t>8.1</w:t>
      </w:r>
      <w:r>
        <w:rPr>
          <w:rFonts w:hint="eastAsia" w:ascii="仿宋" w:hAnsi="仿宋" w:eastAsia="仿宋" w:cs="仿宋"/>
          <w:b/>
          <w:bCs/>
          <w:sz w:val="18"/>
          <w:szCs w:val="18"/>
        </w:rPr>
        <w:t xml:space="preserve"> 乙方作为支付服务提供方，有权对甲方就协议项下的交易活动进行风险与合规监控，根据法律法规规定或监管部门的政策要求、风险提示或指导意见，乙方有权拒绝甲方的交易和结算请求，并对交易和待结算资金进行暂缓结算或冻结。</w:t>
      </w:r>
      <w:r>
        <w:rPr>
          <w:rFonts w:hint="eastAsia" w:ascii="仿宋" w:hAnsi="仿宋" w:eastAsia="仿宋" w:cs="仿宋"/>
          <w:sz w:val="18"/>
          <w:szCs w:val="18"/>
        </w:rPr>
        <w:t>若乙方拒绝甲方的交易和清算请求，或对交易和待结算资金进行暂缓结算或冻结所依据的前提条件消失，则乙方应恢复交易和结算，并将暂缓结算或冻结的资金予以结算。</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 xml:space="preserve">8.2 </w:t>
      </w:r>
      <w:r>
        <w:rPr>
          <w:rFonts w:hint="eastAsia" w:ascii="仿宋" w:hAnsi="仿宋" w:eastAsia="仿宋" w:cs="仿宋"/>
          <w:b/>
          <w:bCs/>
          <w:sz w:val="18"/>
          <w:szCs w:val="18"/>
        </w:rPr>
        <w:t>有权机关、监管部门、行业协会、开户机构、卡组织、清算机构有权对甲方的交易情况进行监控，当前述机构发现甲方疑似从事违法违规交易时，前述机构有权自行或委托乙方对甲方设定交易限额、控制交易权限或拒绝甲方的交易请求或对相应交易款项进行暂缓结算或冻结。</w:t>
      </w:r>
      <w:r>
        <w:rPr>
          <w:rFonts w:hint="eastAsia" w:ascii="仿宋" w:hAnsi="仿宋" w:eastAsia="仿宋" w:cs="仿宋"/>
          <w:sz w:val="18"/>
          <w:szCs w:val="18"/>
        </w:rPr>
        <w:t>若因甲方原因造成用户损失，前述机构与乙方有权根据自行判断，将暂缓结算或冻结的资金赔付给用户。</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 xml:space="preserve">8.3 </w:t>
      </w:r>
      <w:r>
        <w:rPr>
          <w:rFonts w:hint="eastAsia" w:ascii="仿宋" w:hAnsi="仿宋" w:eastAsia="仿宋" w:cs="仿宋"/>
          <w:b/>
          <w:bCs/>
          <w:sz w:val="18"/>
          <w:szCs w:val="18"/>
          <w:u w:val="single"/>
        </w:rPr>
        <w:t>乙方及有权机关、监管部门、行业协会、开户机构、卡组织、清算机构有权使用甲方信息材料，对甲方开展风险与合规监控、审查和评估，乙方有权根据对甲方风险状况的评估或根据前述单位的要求，调整甲方交易资金结算时限和方式、调整甲方交易类型、交易限额及交易笔数限制、暂缓甲方全部或部分交易资金结算、关闭全部技术接口交易功能、终止甲方业务等管理措施</w:t>
      </w:r>
      <w:r>
        <w:rPr>
          <w:rFonts w:hint="eastAsia" w:ascii="仿宋" w:hAnsi="仿宋" w:eastAsia="仿宋" w:cs="仿宋"/>
          <w:b/>
          <w:bCs/>
          <w:sz w:val="18"/>
          <w:szCs w:val="18"/>
        </w:rPr>
        <w:t>。</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8.4 乙方有权根据甲方的商户类型设置特殊的单日、单笔交易限额，并有权对实物类和虚拟类交易设置不同的风控策略，甲方应在其业务范围和业务限额内开展业务。</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8.5 乙方基于风险监控及调查结果，可不定期向甲方提示异常交易，甲方应在乙方规定的时限内就异常交易进行风险排查并就相关交易的真实性、合法性向乙方进行解释说明，必要时应提供相关材料，同时甲方应采取有效措施杜绝再次发生情形类似的异常交易。</w:t>
      </w:r>
      <w:r>
        <w:rPr>
          <w:rFonts w:hint="eastAsia" w:ascii="仿宋" w:hAnsi="仿宋" w:eastAsia="仿宋" w:cs="仿宋"/>
          <w:b/>
          <w:bCs/>
          <w:sz w:val="18"/>
          <w:szCs w:val="18"/>
          <w:u w:val="single"/>
        </w:rPr>
        <w:t>甲方未及时有效处理乙方风险提示而造成的损失由甲方自行承担。</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8.6 乙方基于风险监控及调查结果，可以不定期向甲方提示风险隐患和整改、优化建议，甲方应在整改、优化期限内配合乙方完成整改。</w:t>
      </w:r>
      <w:r>
        <w:rPr>
          <w:rFonts w:hint="eastAsia" w:ascii="仿宋" w:hAnsi="仿宋" w:eastAsia="仿宋" w:cs="仿宋"/>
          <w:b/>
          <w:bCs/>
          <w:sz w:val="18"/>
          <w:szCs w:val="18"/>
          <w:u w:val="single"/>
        </w:rPr>
        <w:t>甲方未配合实施整改或未有效实施整改措施而造成的损失由甲方自行承担。</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 xml:space="preserve">8.7 </w:t>
      </w:r>
      <w:r>
        <w:rPr>
          <w:rFonts w:hint="eastAsia" w:ascii="仿宋" w:hAnsi="仿宋" w:eastAsia="仿宋" w:cs="仿宋"/>
          <w:b/>
          <w:bCs/>
          <w:sz w:val="18"/>
          <w:szCs w:val="18"/>
          <w:u w:val="single"/>
        </w:rPr>
        <w:t>甲方有下列任一情形的，乙方有权采取要求甲方予以改正，设置或调整交易限额，暂缓结算甲方部分或全部交易资金，暂停提供支付服务等一项或多项措施，经指出拒不改正或在合理期间内虽有改正但无法达到乙方整改要求和目标的，乙方有权解除或终止协议，由此产生的责任及损失由甲方承担：</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（1）</w:t>
      </w:r>
      <w:r>
        <w:rPr>
          <w:rFonts w:hint="eastAsia" w:ascii="仿宋" w:hAnsi="仿宋" w:eastAsia="仿宋" w:cs="仿宋"/>
          <w:b/>
          <w:bCs/>
          <w:sz w:val="18"/>
          <w:szCs w:val="18"/>
          <w:u w:val="single"/>
        </w:rPr>
        <w:t>未按照规范受理支付交易的；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（2）</w:t>
      </w:r>
      <w:r>
        <w:rPr>
          <w:rFonts w:hint="eastAsia" w:ascii="仿宋" w:hAnsi="仿宋" w:eastAsia="仿宋" w:cs="仿宋"/>
          <w:b/>
          <w:bCs/>
          <w:sz w:val="18"/>
          <w:szCs w:val="18"/>
          <w:u w:val="single"/>
        </w:rPr>
        <w:t>拒绝受理已经开通的支付业务或要求用户支付交易手续费的；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（3）</w:t>
      </w:r>
      <w:r>
        <w:rPr>
          <w:rFonts w:hint="eastAsia" w:ascii="仿宋" w:hAnsi="仿宋" w:eastAsia="仿宋" w:cs="仿宋"/>
          <w:b/>
          <w:bCs/>
          <w:sz w:val="18"/>
          <w:szCs w:val="18"/>
          <w:u w:val="single"/>
        </w:rPr>
        <w:t>对已完成的支付交易，以现金方式退货的；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（4）</w:t>
      </w:r>
      <w:r>
        <w:rPr>
          <w:rFonts w:hint="eastAsia" w:ascii="仿宋" w:hAnsi="仿宋" w:eastAsia="仿宋" w:cs="仿宋"/>
          <w:b/>
          <w:bCs/>
          <w:sz w:val="18"/>
          <w:szCs w:val="18"/>
          <w:u w:val="single"/>
        </w:rPr>
        <w:t>无理拒绝或拖延乙方交易查询、调单查询或监查要求的；拒绝配合调取交易证明材料或不能及时提供有效交易证明材料的；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（5）</w:t>
      </w:r>
      <w:r>
        <w:rPr>
          <w:rFonts w:hint="eastAsia" w:ascii="仿宋" w:hAnsi="仿宋" w:eastAsia="仿宋" w:cs="仿宋"/>
          <w:b/>
          <w:bCs/>
          <w:sz w:val="18"/>
          <w:szCs w:val="18"/>
          <w:u w:val="single"/>
        </w:rPr>
        <w:t>超出协议文件范围和目的使用乙方网络支付服务；</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（6）</w:t>
      </w:r>
      <w:r>
        <w:rPr>
          <w:rFonts w:hint="eastAsia" w:ascii="仿宋" w:hAnsi="仿宋" w:eastAsia="仿宋" w:cs="仿宋"/>
          <w:b/>
          <w:bCs/>
          <w:sz w:val="18"/>
          <w:szCs w:val="18"/>
          <w:u w:val="single"/>
        </w:rPr>
        <w:t>发生交易金额、时间、频率与其经营范围、规模不相符等异常情形而没有合理解释的；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（7）</w:t>
      </w:r>
      <w:r>
        <w:rPr>
          <w:rFonts w:hint="eastAsia" w:ascii="仿宋" w:hAnsi="仿宋" w:eastAsia="仿宋" w:cs="仿宋"/>
          <w:b/>
          <w:bCs/>
          <w:sz w:val="18"/>
          <w:szCs w:val="18"/>
          <w:u w:val="single"/>
        </w:rPr>
        <w:t>软硬件系统存在安全问题或隐患，经乙方通知后拒不整改的；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（8）</w:t>
      </w:r>
      <w:r>
        <w:rPr>
          <w:rFonts w:hint="eastAsia" w:ascii="仿宋" w:hAnsi="仿宋" w:eastAsia="仿宋" w:cs="仿宋"/>
          <w:b/>
          <w:bCs/>
          <w:sz w:val="18"/>
          <w:szCs w:val="18"/>
          <w:u w:val="single"/>
        </w:rPr>
        <w:t>乙方无法根据甲方提供的联系信息与甲方取得联系的；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（9）</w:t>
      </w:r>
      <w:r>
        <w:rPr>
          <w:rFonts w:hint="eastAsia" w:ascii="仿宋" w:hAnsi="仿宋" w:eastAsia="仿宋" w:cs="仿宋"/>
          <w:b/>
          <w:bCs/>
          <w:sz w:val="18"/>
          <w:szCs w:val="18"/>
          <w:u w:val="single"/>
        </w:rPr>
        <w:t>其他违反协议文件约定或乙方业务规范的情形。</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 xml:space="preserve">8.8 </w:t>
      </w:r>
      <w:r>
        <w:rPr>
          <w:rFonts w:hint="eastAsia" w:ascii="仿宋" w:hAnsi="仿宋" w:eastAsia="仿宋" w:cs="仿宋"/>
          <w:b/>
          <w:bCs/>
          <w:sz w:val="18"/>
          <w:szCs w:val="18"/>
          <w:u w:val="single"/>
        </w:rPr>
        <w:t>甲方有下列任一情形的，乙方有权立即拒绝甲方的交易和结算请求并对交易资金进行暂缓结算或冻结，立即解除或终止协议，同时将甲方相关信息报送至监管部门指定的风险信息管理系统，并向监管部门、有权机关报告，发现涉嫌电信网络新型违法犯罪的，乙方有权向公安机关报告。若给乙方、用户或其他方造成损失的，甲方应当承担赔偿责任，乙方有权扣取甲方业务保证金作为违约金，并从待结算款中扣取相关款项：</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（1）</w:t>
      </w:r>
      <w:r>
        <w:rPr>
          <w:rFonts w:hint="eastAsia" w:ascii="仿宋" w:hAnsi="仿宋" w:eastAsia="仿宋" w:cs="仿宋"/>
          <w:b/>
          <w:bCs/>
          <w:sz w:val="18"/>
          <w:szCs w:val="18"/>
          <w:u w:val="single"/>
        </w:rPr>
        <w:t>虚假申请：甲方虚构、伪造商户信息或材料，或假冒其他机构、个人的信息或材料申请成为特约商户；或登记地址不存在、联系不上；或进入破产程序，被解散，营业执照被吊销、注销。</w:t>
      </w:r>
    </w:p>
    <w:p>
      <w:pPr>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（2）</w:t>
      </w:r>
      <w:r>
        <w:rPr>
          <w:rFonts w:hint="eastAsia" w:ascii="仿宋" w:hAnsi="仿宋" w:eastAsia="仿宋" w:cs="仿宋"/>
          <w:b/>
          <w:bCs/>
          <w:sz w:val="18"/>
          <w:szCs w:val="18"/>
          <w:u w:val="single"/>
        </w:rPr>
        <w:t>名义经营范围与实际情况不符：名义上经营范围正常，或以正常名义申请成为特约商户后，实际从事禁入类商户的经营活动。</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（3）</w:t>
      </w:r>
      <w:r>
        <w:rPr>
          <w:rFonts w:hint="eastAsia" w:ascii="仿宋" w:hAnsi="仿宋" w:eastAsia="仿宋" w:cs="仿宋"/>
          <w:b/>
          <w:bCs/>
          <w:sz w:val="18"/>
          <w:szCs w:val="18"/>
          <w:u w:val="single"/>
        </w:rPr>
        <w:t>虚假交易：甲方在用户不知情的情况下，利用用户账户信息编造虚假交易。</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（4）</w:t>
      </w:r>
      <w:r>
        <w:rPr>
          <w:rFonts w:hint="eastAsia" w:ascii="仿宋" w:hAnsi="仿宋" w:eastAsia="仿宋" w:cs="仿宋"/>
          <w:b/>
          <w:bCs/>
          <w:sz w:val="18"/>
          <w:szCs w:val="18"/>
          <w:u w:val="single"/>
        </w:rPr>
        <w:t>合谋欺诈：甲方在受理支付交易过程中，存在违规操作、蓄意进行欺诈交易或纵容、包庇、协助欺诈交易，配合欺诈分子盗刷伪卡，套取开户机构信用资金。</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（5）</w:t>
      </w:r>
      <w:r>
        <w:rPr>
          <w:rFonts w:hint="eastAsia" w:ascii="仿宋" w:hAnsi="仿宋" w:eastAsia="仿宋" w:cs="仿宋"/>
          <w:b/>
          <w:bCs/>
          <w:sz w:val="18"/>
          <w:szCs w:val="18"/>
          <w:u w:val="single"/>
        </w:rPr>
        <w:t>伪冒交易超过一定比率：甲方当月受理的银行卡交易中，伪卡、冒用卡交易比率或交易欺诈比率超过乙方特约商户平均比率或超过卡组织、清算机构规定的比率。</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（6）</w:t>
      </w:r>
      <w:r>
        <w:rPr>
          <w:rFonts w:hint="eastAsia" w:ascii="仿宋" w:hAnsi="仿宋" w:eastAsia="仿宋" w:cs="仿宋"/>
          <w:b/>
          <w:bCs/>
          <w:sz w:val="18"/>
          <w:szCs w:val="18"/>
          <w:u w:val="single"/>
        </w:rPr>
        <w:t>套现：与不良用户或其他第三方勾结，或甲方自身以虚拟交易套取现金。</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（7）</w:t>
      </w:r>
      <w:r>
        <w:rPr>
          <w:rFonts w:hint="eastAsia" w:ascii="仿宋" w:hAnsi="仿宋" w:eastAsia="仿宋" w:cs="仿宋"/>
          <w:b/>
          <w:bCs/>
          <w:sz w:val="18"/>
          <w:szCs w:val="18"/>
          <w:u w:val="single"/>
        </w:rPr>
        <w:t>分单：甲方将同一笔交易分成多次交易，以使得这些交易的总额超过了银行的授权限额，部分付款或延迟送货的情况除外。</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（8）</w:t>
      </w:r>
      <w:r>
        <w:rPr>
          <w:rFonts w:hint="eastAsia" w:ascii="仿宋" w:hAnsi="仿宋" w:eastAsia="仿宋" w:cs="仿宋"/>
          <w:b/>
          <w:bCs/>
          <w:sz w:val="18"/>
          <w:szCs w:val="18"/>
          <w:u w:val="single"/>
        </w:rPr>
        <w:t>洗单：将其他商户发生的交易通过甲方受理，假冒为甲方受理的支付交易。</w:t>
      </w:r>
    </w:p>
    <w:p>
      <w:pPr>
        <w:adjustRightInd w:val="0"/>
        <w:snapToGrid w:val="0"/>
        <w:spacing w:line="240" w:lineRule="auto"/>
        <w:ind w:firstLine="361" w:firstLineChars="200"/>
        <w:rPr>
          <w:rFonts w:ascii="仿宋" w:hAnsi="仿宋" w:eastAsia="仿宋" w:cs="仿宋"/>
          <w:b/>
          <w:bCs/>
          <w:color w:val="0000FF"/>
          <w:sz w:val="18"/>
          <w:szCs w:val="18"/>
          <w:u w:val="single"/>
        </w:rPr>
      </w:pPr>
      <w:r>
        <w:rPr>
          <w:rFonts w:hint="eastAsia" w:ascii="仿宋" w:hAnsi="仿宋" w:eastAsia="仿宋" w:cs="仿宋"/>
          <w:b/>
          <w:bCs/>
          <w:sz w:val="18"/>
          <w:szCs w:val="18"/>
        </w:rPr>
        <w:t>（9）</w:t>
      </w:r>
      <w:r>
        <w:rPr>
          <w:rFonts w:hint="eastAsia" w:ascii="仿宋" w:hAnsi="仿宋" w:eastAsia="仿宋" w:cs="仿宋"/>
          <w:b/>
          <w:bCs/>
          <w:sz w:val="18"/>
          <w:szCs w:val="18"/>
          <w:u w:val="single"/>
        </w:rPr>
        <w:t>泄露账户及交易信息：甲方和/或甲方员工违反账户信息与交易数据安全管理的规定，违规使用、存储、传输支付账户或银行卡账户信息与交易数据，导致支付账户或银行卡账户信息与交易数据泄露或发生账户信息与交易数据被篡改、破坏等情形；或者将账户信息及交易数据信息泄露给不法分子使用。</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（10）</w:t>
      </w:r>
      <w:r>
        <w:rPr>
          <w:rFonts w:hint="eastAsia" w:ascii="仿宋" w:hAnsi="仿宋" w:eastAsia="仿宋" w:cs="仿宋"/>
          <w:b/>
          <w:bCs/>
          <w:sz w:val="18"/>
          <w:szCs w:val="18"/>
          <w:u w:val="single"/>
        </w:rPr>
        <w:t>不当行为：甲方存在不合规的推销、营销或其他不当行为，引起大量客户和用户投诉，或因为其他不当行为涉及重大争议的，或导致乙方涉及争议事项，影响乙方业务正常开展，或造成乙方业务损失和不良影响的；或实施有损乙方、卡组织声誉、利益行为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（11）</w:t>
      </w:r>
      <w:r>
        <w:rPr>
          <w:rFonts w:hint="eastAsia" w:ascii="仿宋" w:hAnsi="仿宋" w:eastAsia="仿宋" w:cs="仿宋"/>
          <w:b/>
          <w:bCs/>
          <w:sz w:val="18"/>
          <w:szCs w:val="18"/>
          <w:u w:val="single"/>
        </w:rPr>
        <w:t>交易风险：乙方基于履行反洗钱、反欺诈等法定义务对甲方交易进行监测，发现甲方存在异常交易或有其他可疑之处，但甲方无法提供合理解释的；或基于监管机构、行业协会、开户机构、卡组织、清算机构及其他有权机关的要求，乙方在进行资质审核、交易分析或相关审查后有合理理由认定甲方交易存在可疑之处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（12）</w:t>
      </w:r>
      <w:r>
        <w:rPr>
          <w:rFonts w:hint="eastAsia" w:ascii="仿宋" w:hAnsi="仿宋" w:eastAsia="仿宋" w:cs="仿宋"/>
          <w:b/>
          <w:bCs/>
          <w:sz w:val="18"/>
          <w:szCs w:val="18"/>
          <w:u w:val="single"/>
        </w:rPr>
        <w:t>违规风险：甲方及其法定代表人、负责人被行业协会，清算机构，其他国家机关、企事业单位列入黑名单，或被列入国家市场监督管理总局严重违法失信企业名单，或被国家有权机关录入电信网络新型违法犯罪交易风险事件管理平台，或经人民银行等国家监管部门或卡组织、清算机构认定属于“风险商户”、“套现高风险商户”；或超出工商登记经营范围经营的；或无照、无证经营的；或存在被国家机关、行业协会的处罚记录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（13）</w:t>
      </w:r>
      <w:r>
        <w:rPr>
          <w:rFonts w:hint="eastAsia" w:ascii="仿宋" w:hAnsi="仿宋" w:eastAsia="仿宋" w:cs="仿宋"/>
          <w:b/>
          <w:bCs/>
          <w:sz w:val="18"/>
          <w:szCs w:val="18"/>
          <w:u w:val="single"/>
        </w:rPr>
        <w:t>违法犯罪：甲方和/或甲方员工直接或间接参与出租、出借、出售、购买、窃取银行账户（含银行卡）或支付账户信息，套现、洗钱、恐怖融资、赌博、传销、盗取用户资金、电信诈骗、欺诈等违法犯罪活动，或利用乙方提供的服务从事赌博、涉黄、毒品等非法业务，或涉及重大民事纠纷，或涉嫌经济犯罪及其他违法犯罪被调查或立案。</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（14）</w:t>
      </w:r>
      <w:r>
        <w:rPr>
          <w:rFonts w:hint="eastAsia" w:ascii="仿宋" w:hAnsi="仿宋" w:eastAsia="仿宋" w:cs="仿宋"/>
          <w:b/>
          <w:bCs/>
          <w:sz w:val="18"/>
          <w:szCs w:val="18"/>
          <w:u w:val="single"/>
        </w:rPr>
        <w:t>其他违约行为：其他违反协议文件约定或乙方业务规范的情形。</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8.9若甲方申请乙方网络支付服务要求交纳业务保证金的，甲乙双方应当遵循以下约定：</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（1）甲方应按乙方确定的业务类型和交纳标准向乙方交纳业务保证金，业务保证金不计利息。</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（2）甲方违反法律法规、监管规则、行业规范及协议文件的，乙方有权根据甲方的违法违规或违约程度扣除部分或全部业务保证金。</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3）甲方业务保证金若低于本协议《特约商户业务申请表》约定的额度时应及时补足，否则乙方有权自甲方账户余额或待结算款中自动扣除，若账户余额或待结算款不足以支付上述费用的，甲方应自接到乙方通知之日起5个工作日内补足，未补足的，乙方有权解除或终止</w:t>
      </w:r>
      <w:r>
        <w:rPr>
          <w:rFonts w:hint="eastAsia" w:ascii="仿宋" w:hAnsi="仿宋" w:eastAsia="仿宋" w:cs="仿宋"/>
          <w:sz w:val="18"/>
          <w:szCs w:val="18"/>
          <w:lang w:eastAsia="zh-CN"/>
        </w:rPr>
        <w:t>本</w:t>
      </w:r>
      <w:r>
        <w:rPr>
          <w:rFonts w:hint="eastAsia" w:ascii="仿宋" w:hAnsi="仿宋" w:eastAsia="仿宋" w:cs="仿宋"/>
          <w:sz w:val="18"/>
          <w:szCs w:val="18"/>
        </w:rPr>
        <w:t>协议。</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4）在协议文件终止后180日内，甲方未发生银行调单、持卡人投诉或拒付等情形，交易纠纷和善后工作均已处理完毕，且协议期内甲方未违反法律法规、监管规则、行业规范及协议文件，已结清所有款项并履行完毕协议文件项下的全部责任和义务的前提下可以向乙方申请退还保证金，否则乙方</w:t>
      </w:r>
      <w:r>
        <w:rPr>
          <w:rFonts w:hint="eastAsia" w:ascii="仿宋" w:hAnsi="仿宋" w:eastAsia="仿宋" w:cs="仿宋"/>
          <w:sz w:val="18"/>
          <w:szCs w:val="18"/>
          <w:lang w:eastAsia="zh-CN"/>
        </w:rPr>
        <w:t>有权</w:t>
      </w:r>
      <w:r>
        <w:rPr>
          <w:rFonts w:hint="eastAsia" w:ascii="仿宋" w:hAnsi="仿宋" w:eastAsia="仿宋" w:cs="仿宋"/>
          <w:sz w:val="18"/>
          <w:szCs w:val="18"/>
        </w:rPr>
        <w:t>扣除全部保证金作为甲方应付违约金并有权要求甲方另行赔偿全部损失。</w:t>
      </w: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反洗钱</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9.1 甲、乙双方应严格遵守《中华人民共和国反洗钱法》、《支付机构反洗钱和反恐怖融资管理办法》、《金融机构反洗钱规定》、《</w:t>
      </w:r>
      <w:r>
        <w:rPr>
          <w:rFonts w:hint="eastAsia" w:ascii="仿宋" w:hAnsi="仿宋" w:eastAsia="仿宋" w:cs="仿宋"/>
          <w:sz w:val="18"/>
          <w:szCs w:val="18"/>
          <w:lang w:eastAsia="zh-CN"/>
        </w:rPr>
        <w:t>金融机构</w:t>
      </w:r>
      <w:r>
        <w:rPr>
          <w:rFonts w:hint="eastAsia" w:ascii="仿宋" w:hAnsi="仿宋" w:eastAsia="仿宋" w:cs="仿宋"/>
          <w:sz w:val="18"/>
          <w:szCs w:val="18"/>
        </w:rPr>
        <w:t xml:space="preserve">客户身份识别和客户身份资料及交易记录保存管理办法》等法律法规和监管规定，履行各自的反洗钱义务，并相互提供必要的协助，共同推进反洗钱方面的合作。 </w:t>
      </w:r>
    </w:p>
    <w:p>
      <w:pPr>
        <w:adjustRightInd w:val="0"/>
        <w:snapToGrid w:val="0"/>
        <w:spacing w:line="240" w:lineRule="auto"/>
        <w:ind w:firstLine="360" w:firstLineChars="200"/>
        <w:rPr>
          <w:rFonts w:ascii="仿宋" w:hAnsi="仿宋" w:eastAsia="仿宋" w:cs="仿宋"/>
          <w:sz w:val="18"/>
          <w:szCs w:val="18"/>
          <w:highlight w:val="yellow"/>
        </w:rPr>
      </w:pPr>
      <w:r>
        <w:rPr>
          <w:rFonts w:hint="eastAsia" w:ascii="仿宋" w:hAnsi="仿宋" w:eastAsia="仿宋" w:cs="仿宋"/>
          <w:sz w:val="18"/>
          <w:szCs w:val="18"/>
        </w:rPr>
        <w:t>9.2 甲方应按照法律法规和监管规定认真配合乙方履行客户身份识别义务，确保向乙方提供的资质证明材料的真实性、有效性和完整性，并采取有效措施保存交易凭证，确保能按照乙方要求随时提供资质证明材料复印件或者影印件和相关交易凭证。</w:t>
      </w:r>
    </w:p>
    <w:p>
      <w:pPr>
        <w:adjustRightInd w:val="0"/>
        <w:snapToGrid w:val="0"/>
        <w:spacing w:line="240" w:lineRule="auto"/>
        <w:ind w:firstLine="360" w:firstLineChars="200"/>
        <w:rPr>
          <w:rFonts w:ascii="仿宋" w:hAnsi="仿宋" w:eastAsia="仿宋" w:cs="仿宋"/>
          <w:b/>
          <w:bCs/>
          <w:sz w:val="18"/>
          <w:szCs w:val="18"/>
          <w:u w:val="single"/>
        </w:rPr>
      </w:pPr>
      <w:r>
        <w:rPr>
          <w:rFonts w:hint="eastAsia" w:ascii="仿宋" w:hAnsi="仿宋" w:eastAsia="仿宋" w:cs="仿宋"/>
          <w:sz w:val="18"/>
          <w:szCs w:val="18"/>
        </w:rPr>
        <w:t>9.3 乙方有权对甲方所提供信息材料的真实性、完整性进行审核。甲方应按照乙方的要求提供真实、完整的信息材料，不得提供不真实的信息材料，不得伪造、篡改或拒不提供信息材料。</w:t>
      </w:r>
      <w:r>
        <w:rPr>
          <w:rFonts w:hint="eastAsia" w:ascii="仿宋" w:hAnsi="仿宋" w:eastAsia="仿宋" w:cs="仿宋"/>
          <w:b/>
          <w:bCs/>
          <w:sz w:val="18"/>
          <w:szCs w:val="18"/>
          <w:u w:val="single"/>
        </w:rPr>
        <w:t>如甲方提供的信息材料存在真实性、完整性问题的，应限期进行补充更正，如甲方拒不补充更正或逾期未补充更正的，乙方有权终止与甲方的合作关系。</w:t>
      </w:r>
    </w:p>
    <w:p>
      <w:pPr>
        <w:adjustRightInd w:val="0"/>
        <w:snapToGrid w:val="0"/>
        <w:spacing w:line="240" w:lineRule="auto"/>
        <w:ind w:firstLine="360" w:firstLineChars="200"/>
        <w:rPr>
          <w:rFonts w:ascii="仿宋" w:hAnsi="仿宋" w:eastAsia="仿宋" w:cs="仿宋"/>
          <w:b/>
          <w:bCs/>
          <w:sz w:val="18"/>
          <w:szCs w:val="18"/>
          <w:u w:val="single"/>
        </w:rPr>
      </w:pPr>
      <w:r>
        <w:rPr>
          <w:rFonts w:hint="eastAsia" w:ascii="仿宋" w:hAnsi="仿宋" w:eastAsia="仿宋" w:cs="仿宋"/>
          <w:sz w:val="18"/>
          <w:szCs w:val="18"/>
        </w:rPr>
        <w:t>9.4 对于乙方及监管部门、卡组织或清算机构监测、核查发现的甲方异常交易数据，甲方有义务根据前述机构的要求，配合乙方提供有关甲方及用户的相关信息。</w:t>
      </w:r>
      <w:r>
        <w:rPr>
          <w:rFonts w:hint="eastAsia" w:ascii="仿宋" w:hAnsi="仿宋" w:eastAsia="仿宋" w:cs="仿宋"/>
          <w:b/>
          <w:bCs/>
          <w:sz w:val="18"/>
          <w:szCs w:val="18"/>
          <w:u w:val="single"/>
        </w:rPr>
        <w:t>如甲方不履行或无法履行相关义务，为了保证用户资金安全，乙方有权采取暂停或停止向甲方提供网络支付服务并从甲方业务保证金或待结算款中扣除相应款项。</w:t>
      </w: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数据安全与保密</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10.1 甲方同意遵守以下账户信息及交易数据安全管理规定：</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账户信息和交易数据仅用于辅助完成支付交易，乙方向甲方提供的交易数据仅限于甲方对账使用，甲方不得将账户信息和交易数据用于上述目的之外的任何其它用途；未经乙方同意，不得将账户信息及交易数据信息披露给第三方；</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u w:val="single"/>
        </w:rPr>
        <w:t>（2）甲方不得以任何方式收集并存储用户的支付敏感信息，包括但不限于用户姓名、身份证号码、手机号码、银行账号、支付账户号、验证码、个人密码、银行卡磁道信息及银行卡有效期等。</w:t>
      </w:r>
    </w:p>
    <w:p>
      <w:pPr>
        <w:adjustRightInd w:val="0"/>
        <w:snapToGrid w:val="0"/>
        <w:spacing w:line="240" w:lineRule="auto"/>
        <w:ind w:firstLine="360" w:firstLineChars="200"/>
        <w:rPr>
          <w:rFonts w:ascii="仿宋" w:hAnsi="仿宋" w:eastAsia="仿宋" w:cs="仿宋"/>
          <w:b/>
          <w:bCs/>
          <w:sz w:val="18"/>
          <w:szCs w:val="18"/>
          <w:u w:val="single"/>
        </w:rPr>
      </w:pPr>
      <w:r>
        <w:rPr>
          <w:rFonts w:hint="eastAsia" w:ascii="仿宋" w:hAnsi="仿宋" w:eastAsia="仿宋" w:cs="仿宋"/>
          <w:sz w:val="18"/>
          <w:szCs w:val="18"/>
        </w:rPr>
        <w:t>（3）甲方应将存有保密信息的介质、设备保存在安全领域，并只允许经授权人员接触，严禁泄漏给第三方；</w:t>
      </w:r>
      <w:r>
        <w:rPr>
          <w:rFonts w:hint="eastAsia" w:ascii="仿宋" w:hAnsi="仿宋" w:eastAsia="仿宋" w:cs="仿宋"/>
          <w:b/>
          <w:bCs/>
          <w:sz w:val="18"/>
          <w:szCs w:val="18"/>
          <w:u w:val="single"/>
        </w:rPr>
        <w:t>对于甲方内部人员流动、辞职、解雇等原因离职后，而由其泄露有关信息、数据、材料的责任，由甲方承担。</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（4）甲方应配合乙方做好账户信息安全合规评估等保障账户信息及交易数据安全的工作。</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（5）甲方允许乙方为保障受理支付交易的安全而采用监控和可疑跟踪等技术的实际应用。</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u w:val="single"/>
        </w:rPr>
        <w:t>甲方违反上述规定，导致账户信息及交易数据被篡改、泄漏、破坏等造成的相关损失和风险责任由甲方承担。</w:t>
      </w:r>
    </w:p>
    <w:p>
      <w:pPr>
        <w:adjustRightInd w:val="0"/>
        <w:snapToGrid w:val="0"/>
        <w:spacing w:line="240" w:lineRule="auto"/>
        <w:ind w:firstLine="360" w:firstLineChars="200"/>
        <w:rPr>
          <w:rFonts w:ascii="仿宋" w:hAnsi="仿宋" w:eastAsia="仿宋" w:cs="仿宋"/>
          <w:b/>
          <w:bCs/>
          <w:sz w:val="18"/>
          <w:szCs w:val="18"/>
        </w:rPr>
      </w:pPr>
      <w:r>
        <w:rPr>
          <w:rFonts w:hint="eastAsia" w:ascii="仿宋" w:hAnsi="仿宋" w:eastAsia="仿宋" w:cs="仿宋"/>
          <w:sz w:val="18"/>
          <w:szCs w:val="18"/>
        </w:rPr>
        <w:t>10.2 甲方及甲方法定代表人/负责人/经营者、代理人、联系人的身份资料、信息和其他特定信息依法受到乙方保护与规范管理。</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10.3 除法定义务或司法、行政、军事机关及其授权单位等有权机关要求外，未经双方事先书面同意，任何一方及其员工（包括因履行协议文件而聘请的专业顾问、中介机构、代理人和/或各方的母公司、关联公司及投资人）应对其已获得与协议文件相关保密信息（包括但不限于财务、技术或市场等方面的未公开的资料文件）承担保密义务，不得向任何第三方透露上述保密信息。本约定在协议文件终止后仍持续有效。</w:t>
      </w:r>
    </w:p>
    <w:p>
      <w:pPr>
        <w:adjustRightInd w:val="0"/>
        <w:snapToGrid w:val="0"/>
        <w:spacing w:line="240" w:lineRule="auto"/>
        <w:ind w:firstLine="360" w:firstLineChars="200"/>
        <w:rPr>
          <w:rFonts w:ascii="仿宋" w:hAnsi="仿宋" w:eastAsia="仿宋" w:cs="仿宋"/>
          <w:b/>
          <w:bCs/>
          <w:sz w:val="18"/>
          <w:szCs w:val="18"/>
        </w:rPr>
      </w:pPr>
      <w:r>
        <w:rPr>
          <w:rFonts w:hint="eastAsia" w:ascii="仿宋" w:hAnsi="仿宋" w:eastAsia="仿宋" w:cs="仿宋"/>
          <w:sz w:val="18"/>
          <w:szCs w:val="18"/>
        </w:rPr>
        <w:t>10.4</w:t>
      </w:r>
      <w:r>
        <w:rPr>
          <w:rFonts w:hint="eastAsia" w:ascii="仿宋" w:hAnsi="仿宋" w:eastAsia="仿宋" w:cs="仿宋"/>
          <w:b/>
          <w:bCs/>
          <w:sz w:val="18"/>
          <w:szCs w:val="18"/>
        </w:rPr>
        <w:t xml:space="preserve"> 乙方及有权机关、监管部门、行业协会、开户机构、卡组织、清算机构有权收集并合理使用甲方信息及甲方交易过程中产生的相关信息和数据，包括但不限于交易场景下的交易信息、身份信息和账户信息等，乙方有权将该信息和数据用于拓展业务、改善产品、风险控制、反洗钱、处理用户投诉等方面，从而更好地提供服务。</w:t>
      </w:r>
    </w:p>
    <w:p>
      <w:pPr>
        <w:adjustRightInd w:val="0"/>
        <w:snapToGrid w:val="0"/>
        <w:spacing w:line="240" w:lineRule="auto"/>
        <w:ind w:firstLine="360" w:firstLineChars="200"/>
        <w:rPr>
          <w:rFonts w:hint="eastAsia" w:ascii="仿宋" w:hAnsi="仿宋" w:eastAsia="仿宋" w:cs="仿宋"/>
          <w:sz w:val="18"/>
          <w:szCs w:val="18"/>
        </w:rPr>
      </w:pPr>
      <w:r>
        <w:rPr>
          <w:rFonts w:hint="eastAsia" w:ascii="仿宋" w:hAnsi="仿宋" w:eastAsia="仿宋" w:cs="仿宋"/>
          <w:sz w:val="18"/>
          <w:szCs w:val="18"/>
        </w:rPr>
        <w:t>10.5 根据国家机关要求或为公共目的向相关单位提供的信息、数据、材料，或在已经采取了必要的系统管理安全措施的情况下，由于黑客攻击、计算机病毒侵入或发作、因政府管制而造成的暂时性关闭等影响系统、网络正常运行造成的信息泄漏，或其他不可抗力造成的信息泄露双方均无需承担信息泄漏责任。</w:t>
      </w:r>
    </w:p>
    <w:p>
      <w:pPr>
        <w:numPr>
          <w:ilvl w:val="0"/>
          <w:numId w:val="1"/>
        </w:numPr>
        <w:spacing w:before="156" w:beforeLines="50" w:after="156" w:afterLines="50" w:line="240" w:lineRule="auto"/>
        <w:rPr>
          <w:rFonts w:hint="eastAsia" w:ascii="仿宋" w:hAnsi="仿宋" w:eastAsia="仿宋" w:cs="仿宋"/>
          <w:b/>
          <w:bCs/>
          <w:sz w:val="18"/>
          <w:szCs w:val="18"/>
          <w:lang w:val="en-US" w:eastAsia="zh-CN"/>
        </w:rPr>
      </w:pPr>
      <w:r>
        <w:rPr>
          <w:rFonts w:hint="eastAsia" w:ascii="仿宋" w:hAnsi="仿宋" w:eastAsia="仿宋" w:cs="仿宋"/>
          <w:b/>
          <w:bCs/>
          <w:sz w:val="18"/>
          <w:szCs w:val="18"/>
          <w:lang w:val="en-US" w:eastAsia="zh-CN"/>
        </w:rPr>
        <w:t>信息确认与授权</w:t>
      </w:r>
    </w:p>
    <w:p>
      <w:pPr>
        <w:numPr>
          <w:ilvl w:val="-1"/>
          <w:numId w:val="0"/>
        </w:numPr>
        <w:adjustRightInd w:val="0"/>
        <w:snapToGrid w:val="0"/>
        <w:spacing w:before="0" w:beforeLines="-2147483648" w:after="0" w:afterLines="-2147483648" w:line="240" w:lineRule="auto"/>
        <w:ind w:firstLine="361" w:firstLineChars="200"/>
        <w:rPr>
          <w:rFonts w:hint="eastAsia" w:ascii="仿宋" w:hAnsi="仿宋" w:eastAsia="仿宋" w:cs="仿宋"/>
          <w:b w:val="0"/>
          <w:bCs w:val="0"/>
          <w:sz w:val="18"/>
          <w:szCs w:val="18"/>
          <w:lang w:val="en-US" w:eastAsia="zh-CN"/>
        </w:rPr>
      </w:pPr>
      <w:r>
        <w:rPr>
          <w:rFonts w:hint="eastAsia" w:ascii="仿宋" w:hAnsi="仿宋" w:eastAsia="仿宋" w:cs="仿宋"/>
          <w:b/>
          <w:bCs/>
          <w:sz w:val="18"/>
          <w:szCs w:val="18"/>
          <w:lang w:val="en-US" w:eastAsia="zh-CN"/>
        </w:rPr>
        <w:t>11.1 为了更好地为甲方提供更全面更优质的服务，甲方特授权乙方将在服务过程中收集的甲方信息遵循必要、最小范围原则通过合法途径传递给合作的第三方（包括但不限于合作结算银行、征信公司[杭州征信有限公司]等）。如传递给征信公司的，同时授权该征信公司将信息加工处理后传输给最终为甲方提供服务的拥有合法资质的机构（下称：最终服务机构），授权该最终服务机构在提供服务期间以任何合法方式使用。</w:t>
      </w:r>
    </w:p>
    <w:p>
      <w:pPr>
        <w:numPr>
          <w:ilvl w:val="-1"/>
          <w:numId w:val="0"/>
        </w:numPr>
        <w:adjustRightInd w:val="0"/>
        <w:snapToGrid w:val="0"/>
        <w:spacing w:before="0" w:beforeLines="-2147483648" w:after="0" w:afterLines="-2147483648" w:line="240" w:lineRule="auto"/>
        <w:ind w:firstLine="361" w:firstLineChars="200"/>
        <w:rPr>
          <w:rFonts w:hint="eastAsia" w:ascii="仿宋" w:hAnsi="仿宋" w:eastAsia="仿宋" w:cs="仿宋"/>
          <w:b w:val="0"/>
          <w:bCs w:val="0"/>
          <w:i w:val="0"/>
          <w:iCs w:val="0"/>
          <w:caps w:val="0"/>
          <w:spacing w:val="0"/>
          <w:sz w:val="18"/>
          <w:szCs w:val="18"/>
          <w:shd w:val="clear"/>
        </w:rPr>
      </w:pPr>
      <w:r>
        <w:rPr>
          <w:rFonts w:hint="eastAsia" w:ascii="仿宋" w:hAnsi="仿宋" w:eastAsia="仿宋" w:cs="仿宋"/>
          <w:b/>
          <w:bCs/>
          <w:sz w:val="18"/>
          <w:szCs w:val="18"/>
          <w:lang w:val="en-US" w:eastAsia="zh-CN"/>
        </w:rPr>
        <w:t>11.2 该等信息包括但不限于甲方</w:t>
      </w:r>
      <w:r>
        <w:rPr>
          <w:rFonts w:hint="eastAsia" w:ascii="仿宋" w:hAnsi="仿宋" w:eastAsia="仿宋" w:cs="仿宋"/>
          <w:b/>
          <w:bCs/>
          <w:i w:val="0"/>
          <w:iCs w:val="0"/>
          <w:caps w:val="0"/>
          <w:spacing w:val="0"/>
          <w:sz w:val="18"/>
          <w:szCs w:val="18"/>
          <w:shd w:val="clear"/>
        </w:rPr>
        <w:t>在微信、支付宝、银联渠道中产生的交易金额、笔数；商户名称、商户地址、法</w:t>
      </w:r>
      <w:r>
        <w:rPr>
          <w:rFonts w:hint="eastAsia" w:ascii="仿宋" w:hAnsi="仿宋" w:eastAsia="仿宋" w:cs="仿宋"/>
          <w:b/>
          <w:bCs/>
          <w:i w:val="0"/>
          <w:iCs w:val="0"/>
          <w:caps w:val="0"/>
          <w:spacing w:val="0"/>
          <w:sz w:val="18"/>
          <w:szCs w:val="18"/>
          <w:shd w:val="clear"/>
          <w:lang w:eastAsia="zh-CN"/>
        </w:rPr>
        <w:t>定代表</w:t>
      </w:r>
      <w:r>
        <w:rPr>
          <w:rFonts w:hint="eastAsia" w:ascii="仿宋" w:hAnsi="仿宋" w:eastAsia="仿宋" w:cs="仿宋"/>
          <w:b/>
          <w:bCs/>
          <w:i w:val="0"/>
          <w:iCs w:val="0"/>
          <w:caps w:val="0"/>
          <w:spacing w:val="0"/>
          <w:sz w:val="18"/>
          <w:szCs w:val="18"/>
          <w:shd w:val="clear"/>
        </w:rPr>
        <w:t>人名称、法</w:t>
      </w:r>
      <w:r>
        <w:rPr>
          <w:rFonts w:hint="eastAsia" w:ascii="仿宋" w:hAnsi="仿宋" w:eastAsia="仿宋" w:cs="仿宋"/>
          <w:b/>
          <w:bCs/>
          <w:i w:val="0"/>
          <w:iCs w:val="0"/>
          <w:caps w:val="0"/>
          <w:spacing w:val="0"/>
          <w:sz w:val="18"/>
          <w:szCs w:val="18"/>
          <w:shd w:val="clear"/>
          <w:lang w:eastAsia="zh-CN"/>
        </w:rPr>
        <w:t>定代表</w:t>
      </w:r>
      <w:r>
        <w:rPr>
          <w:rFonts w:hint="eastAsia" w:ascii="仿宋" w:hAnsi="仿宋" w:eastAsia="仿宋" w:cs="仿宋"/>
          <w:b/>
          <w:bCs/>
          <w:i w:val="0"/>
          <w:iCs w:val="0"/>
          <w:caps w:val="0"/>
          <w:spacing w:val="0"/>
          <w:sz w:val="18"/>
          <w:szCs w:val="18"/>
          <w:shd w:val="clear"/>
        </w:rPr>
        <w:t>人身份证号、结算卡号、结算卡户名、结算卡</w:t>
      </w:r>
      <w:r>
        <w:rPr>
          <w:rFonts w:hint="eastAsia" w:ascii="仿宋" w:hAnsi="仿宋" w:eastAsia="仿宋" w:cs="仿宋"/>
          <w:b/>
          <w:bCs/>
          <w:i w:val="0"/>
          <w:iCs w:val="0"/>
          <w:caps w:val="0"/>
          <w:spacing w:val="0"/>
          <w:sz w:val="18"/>
          <w:szCs w:val="18"/>
          <w:shd w:val="clear"/>
          <w:lang w:val="en-US" w:eastAsia="zh-CN"/>
        </w:rPr>
        <w:t>开户行等为提供相应服务所必需信息</w:t>
      </w:r>
      <w:r>
        <w:rPr>
          <w:rFonts w:hint="eastAsia" w:ascii="仿宋" w:hAnsi="仿宋" w:eastAsia="仿宋" w:cs="仿宋"/>
          <w:b/>
          <w:bCs/>
          <w:i w:val="0"/>
          <w:iCs w:val="0"/>
          <w:caps w:val="0"/>
          <w:spacing w:val="0"/>
          <w:sz w:val="18"/>
          <w:szCs w:val="18"/>
          <w:shd w:val="clear"/>
        </w:rPr>
        <w:t>。</w:t>
      </w:r>
    </w:p>
    <w:p>
      <w:pPr>
        <w:numPr>
          <w:ilvl w:val="-1"/>
          <w:numId w:val="0"/>
        </w:numPr>
        <w:adjustRightInd w:val="0"/>
        <w:snapToGrid w:val="0"/>
        <w:spacing w:before="0" w:beforeLines="-2147483648" w:after="0" w:afterLines="-2147483648" w:line="240" w:lineRule="auto"/>
        <w:ind w:firstLine="360" w:firstLineChars="200"/>
        <w:rPr>
          <w:rFonts w:hint="eastAsia" w:ascii="仿宋" w:hAnsi="仿宋" w:eastAsia="仿宋" w:cs="仿宋"/>
          <w:b w:val="0"/>
          <w:bCs w:val="0"/>
          <w:sz w:val="18"/>
          <w:szCs w:val="18"/>
          <w:lang w:val="en-US" w:eastAsia="zh-CN"/>
        </w:rPr>
      </w:pPr>
      <w:r>
        <w:rPr>
          <w:rFonts w:hint="eastAsia" w:ascii="仿宋" w:hAnsi="仿宋" w:eastAsia="仿宋" w:cs="仿宋"/>
          <w:b w:val="0"/>
          <w:bCs w:val="0"/>
          <w:i w:val="0"/>
          <w:iCs w:val="0"/>
          <w:caps w:val="0"/>
          <w:spacing w:val="0"/>
          <w:sz w:val="18"/>
          <w:szCs w:val="18"/>
          <w:shd w:val="clear"/>
          <w:lang w:val="en-US" w:eastAsia="zh-CN"/>
        </w:rPr>
        <w:t>11.3 授权期限至第三方所提供的服务履行完毕。如服务履行完毕甲方需第三方继续提供其他服务的，由甲方单独向第三方授权。</w:t>
      </w: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违约责任</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除协议文件另有约定外，甲乙双方中的任何一方违反或不履行在协议文件中约定的义务及其所做的保证、承诺或其他义务条款，均构成违约。因一方违约而导致另一方损失或对第三方承担损失赔偿责任的（包括为挽回损失而支出的诉讼费、律师费、调查取证费、差旅费等），受损方有权向违约方追索，违约方应当赔偿因其违约行为给另一方造成的损失。</w:t>
      </w: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协议解除和终止</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3</w:t>
      </w:r>
      <w:r>
        <w:rPr>
          <w:rFonts w:hint="eastAsia" w:ascii="仿宋" w:hAnsi="仿宋" w:eastAsia="仿宋" w:cs="仿宋"/>
          <w:sz w:val="18"/>
          <w:szCs w:val="18"/>
        </w:rPr>
        <w:t>.1 在协议有效期内，甲、乙双方通过友好协商，可以书面形式解除或终止协议，双方互不承担违约责任。</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3</w:t>
      </w:r>
      <w:r>
        <w:rPr>
          <w:rFonts w:hint="eastAsia" w:ascii="仿宋" w:hAnsi="仿宋" w:eastAsia="仿宋" w:cs="仿宋"/>
          <w:sz w:val="18"/>
          <w:szCs w:val="18"/>
        </w:rPr>
        <w:t>.2 若甲方从事违法犯罪活动，乙方有权立即解除</w:t>
      </w:r>
      <w:r>
        <w:rPr>
          <w:rFonts w:hint="eastAsia" w:ascii="仿宋" w:hAnsi="仿宋" w:eastAsia="仿宋" w:cs="仿宋"/>
          <w:sz w:val="18"/>
          <w:szCs w:val="18"/>
          <w:lang w:eastAsia="zh-CN"/>
        </w:rPr>
        <w:t>本</w:t>
      </w:r>
      <w:r>
        <w:rPr>
          <w:rFonts w:hint="eastAsia" w:ascii="仿宋" w:hAnsi="仿宋" w:eastAsia="仿宋" w:cs="仿宋"/>
          <w:sz w:val="18"/>
          <w:szCs w:val="18"/>
        </w:rPr>
        <w:t>协议，暂缓结算或冻结交易资金，并使用甲方待结算款对乙方损失予以赔偿；甲方除依照协议相关条款赔偿、承担损失外，还需按照违法犯罪活动中利用乙方基于协议项下提供的支付服务所发生交易的交易金额向乙方支付违约金。</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3</w:t>
      </w:r>
      <w:r>
        <w:rPr>
          <w:rFonts w:hint="eastAsia" w:ascii="仿宋" w:hAnsi="仿宋" w:eastAsia="仿宋" w:cs="仿宋"/>
          <w:sz w:val="18"/>
          <w:szCs w:val="18"/>
        </w:rPr>
        <w:t>.3 有权机关、监管部门、行业协会、开户机构、卡组织、清算机构书面通知乙方强制与甲方解约的，乙方有权按通知要求终止协议而无需承担违约责任，因甲方行为造成乙方损失的，乙方有权</w:t>
      </w:r>
      <w:r>
        <w:rPr>
          <w:rFonts w:hint="eastAsia" w:ascii="仿宋" w:hAnsi="仿宋" w:eastAsia="仿宋" w:cs="仿宋"/>
          <w:sz w:val="18"/>
          <w:szCs w:val="18"/>
          <w:lang w:eastAsia="zh-CN"/>
        </w:rPr>
        <w:t>要</w:t>
      </w:r>
      <w:r>
        <w:rPr>
          <w:rFonts w:hint="eastAsia" w:ascii="仿宋" w:hAnsi="仿宋" w:eastAsia="仿宋" w:cs="仿宋"/>
          <w:sz w:val="18"/>
          <w:szCs w:val="18"/>
        </w:rPr>
        <w:t>求甲方相应赔偿。</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1</w:t>
      </w:r>
      <w:r>
        <w:rPr>
          <w:rFonts w:hint="eastAsia" w:ascii="仿宋" w:hAnsi="仿宋" w:eastAsia="仿宋" w:cs="仿宋"/>
          <w:b/>
          <w:bCs/>
          <w:sz w:val="18"/>
          <w:szCs w:val="18"/>
          <w:lang w:val="en-US" w:eastAsia="zh-CN"/>
        </w:rPr>
        <w:t>3</w:t>
      </w:r>
      <w:r>
        <w:rPr>
          <w:rFonts w:hint="eastAsia" w:ascii="仿宋" w:hAnsi="仿宋" w:eastAsia="仿宋" w:cs="仿宋"/>
          <w:b/>
          <w:bCs/>
          <w:sz w:val="18"/>
          <w:szCs w:val="18"/>
        </w:rPr>
        <w:t xml:space="preserve">.4 </w:t>
      </w:r>
      <w:r>
        <w:rPr>
          <w:rFonts w:hint="eastAsia" w:ascii="仿宋" w:hAnsi="仿宋" w:eastAsia="仿宋" w:cs="仿宋"/>
          <w:b/>
          <w:bCs/>
          <w:sz w:val="18"/>
          <w:szCs w:val="18"/>
          <w:u w:val="single"/>
        </w:rPr>
        <w:t>甲方有下列情形之一的，乙方有权自发现之日起6个月内随时停止提供网络支付服务，并终止协议文件，乙方无须向甲方承担任何责任，由此造成的乙方损失，甲方应全额赔偿：</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（1）</w:t>
      </w:r>
      <w:r>
        <w:rPr>
          <w:rFonts w:hint="eastAsia" w:ascii="仿宋" w:hAnsi="仿宋" w:eastAsia="仿宋" w:cs="仿宋"/>
          <w:b/>
          <w:bCs/>
          <w:sz w:val="18"/>
          <w:szCs w:val="18"/>
          <w:u w:val="single"/>
        </w:rPr>
        <w:t>甲方超越经营资质上规定的经营范围开展营业；</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（2）</w:t>
      </w:r>
      <w:r>
        <w:rPr>
          <w:rFonts w:hint="eastAsia" w:ascii="仿宋" w:hAnsi="仿宋" w:eastAsia="仿宋" w:cs="仿宋"/>
          <w:b/>
          <w:bCs/>
          <w:sz w:val="18"/>
          <w:szCs w:val="18"/>
          <w:u w:val="single"/>
        </w:rPr>
        <w:t>甲方主营业务发生变更，乙方重新核定服务收费标准，双方无法协商一致的；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（3）</w:t>
      </w:r>
      <w:r>
        <w:rPr>
          <w:rFonts w:hint="eastAsia" w:ascii="仿宋" w:hAnsi="仿宋" w:eastAsia="仿宋" w:cs="仿宋"/>
          <w:b/>
          <w:bCs/>
          <w:sz w:val="18"/>
          <w:szCs w:val="18"/>
          <w:u w:val="single"/>
        </w:rPr>
        <w:t>乙方对甲方重新进行资质审查，发现甲方不再符合乙方特约商户准入条件的；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（4）</w:t>
      </w:r>
      <w:r>
        <w:rPr>
          <w:rFonts w:hint="eastAsia" w:ascii="仿宋" w:hAnsi="仿宋" w:eastAsia="仿宋" w:cs="仿宋"/>
          <w:b/>
          <w:bCs/>
          <w:sz w:val="18"/>
          <w:szCs w:val="18"/>
          <w:u w:val="single"/>
        </w:rPr>
        <w:t>甲方连续3个月内未发生交易的，乙方无法核实甲方身份的；</w:t>
      </w:r>
    </w:p>
    <w:p>
      <w:pPr>
        <w:adjustRightInd w:val="0"/>
        <w:snapToGrid w:val="0"/>
        <w:spacing w:line="240" w:lineRule="auto"/>
        <w:ind w:firstLine="361" w:firstLineChars="200"/>
        <w:rPr>
          <w:rFonts w:ascii="仿宋" w:hAnsi="仿宋" w:eastAsia="仿宋" w:cs="仿宋"/>
          <w:b/>
          <w:bCs/>
          <w:sz w:val="18"/>
          <w:szCs w:val="18"/>
          <w:u w:val="single"/>
        </w:rPr>
      </w:pPr>
      <w:r>
        <w:rPr>
          <w:rFonts w:hint="eastAsia" w:ascii="仿宋" w:hAnsi="仿宋" w:eastAsia="仿宋" w:cs="仿宋"/>
          <w:b/>
          <w:bCs/>
          <w:sz w:val="18"/>
          <w:szCs w:val="18"/>
        </w:rPr>
        <w:t>（5）</w:t>
      </w:r>
      <w:r>
        <w:rPr>
          <w:rFonts w:hint="eastAsia" w:ascii="仿宋" w:hAnsi="仿宋" w:eastAsia="仿宋" w:cs="仿宋"/>
          <w:b/>
          <w:bCs/>
          <w:sz w:val="18"/>
          <w:szCs w:val="18"/>
          <w:u w:val="single"/>
        </w:rPr>
        <w:t>甲方连续12个月内未发生交易的；</w:t>
      </w:r>
    </w:p>
    <w:p>
      <w:pPr>
        <w:adjustRightInd w:val="0"/>
        <w:snapToGrid w:val="0"/>
        <w:spacing w:line="240" w:lineRule="auto"/>
        <w:ind w:firstLine="361" w:firstLineChars="200"/>
        <w:rPr>
          <w:rFonts w:ascii="仿宋" w:hAnsi="仿宋" w:eastAsia="仿宋" w:cs="仿宋"/>
          <w:sz w:val="18"/>
          <w:szCs w:val="18"/>
        </w:rPr>
      </w:pPr>
      <w:r>
        <w:rPr>
          <w:rFonts w:hint="eastAsia" w:ascii="仿宋" w:hAnsi="仿宋" w:eastAsia="仿宋" w:cs="仿宋"/>
          <w:b/>
          <w:bCs/>
          <w:sz w:val="18"/>
          <w:szCs w:val="18"/>
        </w:rPr>
        <w:t>（6）</w:t>
      </w:r>
      <w:r>
        <w:rPr>
          <w:rFonts w:hint="eastAsia" w:ascii="仿宋" w:hAnsi="仿宋" w:eastAsia="仿宋" w:cs="仿宋"/>
          <w:b/>
          <w:bCs/>
          <w:sz w:val="18"/>
          <w:szCs w:val="18"/>
          <w:u w:val="single"/>
        </w:rPr>
        <w:t>甲方发生违反协议文件约定的行为，经乙方通知后5个工作日内仍未纠正的；或甲方累积有两次以上违约行为的。</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3</w:t>
      </w:r>
      <w:r>
        <w:rPr>
          <w:rFonts w:hint="eastAsia" w:ascii="仿宋" w:hAnsi="仿宋" w:eastAsia="仿宋" w:cs="仿宋"/>
          <w:sz w:val="18"/>
          <w:szCs w:val="18"/>
        </w:rPr>
        <w:t>.5 协议解除或终止后，甲方应自协议解除或终止日起5个工作日内退还乙方所提供的全部软硬件及物料，未及时退还的视为甲方遗失，甲方应双倍赔偿损失。</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3</w:t>
      </w:r>
      <w:r>
        <w:rPr>
          <w:rFonts w:hint="eastAsia" w:ascii="仿宋" w:hAnsi="仿宋" w:eastAsia="仿宋" w:cs="仿宋"/>
          <w:sz w:val="18"/>
          <w:szCs w:val="18"/>
        </w:rPr>
        <w:t>.6 协议文件的终止不影响双方在协议文件终止前已按协议文件条款累积的权利和义务；协议文件终止时，双方应相互结清根据协议文件规定应付未付的各项款项。</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3</w:t>
      </w:r>
      <w:r>
        <w:rPr>
          <w:rFonts w:hint="eastAsia" w:ascii="仿宋" w:hAnsi="仿宋" w:eastAsia="仿宋" w:cs="仿宋"/>
          <w:sz w:val="18"/>
          <w:szCs w:val="18"/>
        </w:rPr>
        <w:t>.7 协议文件解除或终止后，乙方有权对终止日起追溯至少180日内的交易进行调单核查并影印留存。在协议终止后2年内，乙方对协议终止前的交易仍有向甲方查询及追索的权利，法律或监管部门另有规定的除外。</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3</w:t>
      </w:r>
      <w:r>
        <w:rPr>
          <w:rFonts w:hint="eastAsia" w:ascii="仿宋" w:hAnsi="仿宋" w:eastAsia="仿宋" w:cs="仿宋"/>
          <w:sz w:val="18"/>
          <w:szCs w:val="18"/>
        </w:rPr>
        <w:t>.8 协议终止后，甲、乙双方应当遵循诚实信用的原则，继续履行通知、协助、保密的义务。协议文件的送达条款、知识产权条款、保密条款、适用法律条款、争议解决条款及协议终止后乙方对终止前的交易仍有查询及追偿权的约定均为独立条款，不受合同整体或其他条款效力的影响。</w:t>
      </w: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适用法律及争议解决</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4</w:t>
      </w:r>
      <w:r>
        <w:rPr>
          <w:rFonts w:hint="eastAsia" w:ascii="仿宋" w:hAnsi="仿宋" w:eastAsia="仿宋" w:cs="仿宋"/>
          <w:sz w:val="18"/>
          <w:szCs w:val="18"/>
        </w:rPr>
        <w:t>.1 协议文件的解释、适用、争议解决等所有事宜，均适用中华人民共和国法律（香港特别行政区、澳门特别行政区和台湾地区的法律除外），冲突法规则除外。</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4</w:t>
      </w:r>
      <w:r>
        <w:rPr>
          <w:rFonts w:hint="eastAsia" w:ascii="仿宋" w:hAnsi="仿宋" w:eastAsia="仿宋" w:cs="仿宋"/>
          <w:sz w:val="18"/>
          <w:szCs w:val="18"/>
        </w:rPr>
        <w:t>.2 因协议文件引起的或与协议文件有关的任何争议，各方应友好协商，协商不成的，均提请乙方住所地有管辖权的人民法院诉讼解决。</w:t>
      </w:r>
    </w:p>
    <w:p>
      <w:pPr>
        <w:numPr>
          <w:ilvl w:val="0"/>
          <w:numId w:val="1"/>
        </w:numPr>
        <w:spacing w:line="240" w:lineRule="auto"/>
        <w:rPr>
          <w:rFonts w:ascii="仿宋" w:hAnsi="仿宋" w:eastAsia="仿宋" w:cs="仿宋"/>
          <w:b/>
          <w:bCs/>
          <w:sz w:val="18"/>
          <w:szCs w:val="18"/>
        </w:rPr>
      </w:pPr>
      <w:r>
        <w:rPr>
          <w:rFonts w:hint="eastAsia" w:ascii="仿宋" w:hAnsi="仿宋" w:eastAsia="仿宋" w:cs="仿宋"/>
          <w:b/>
          <w:bCs/>
          <w:sz w:val="18"/>
          <w:szCs w:val="18"/>
        </w:rPr>
        <w:t>其他条款</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5</w:t>
      </w:r>
      <w:r>
        <w:rPr>
          <w:rFonts w:hint="eastAsia" w:ascii="仿宋" w:hAnsi="仿宋" w:eastAsia="仿宋" w:cs="仿宋"/>
          <w:sz w:val="18"/>
          <w:szCs w:val="18"/>
        </w:rPr>
        <w:t>.1 在协议文件履行过程中，乙方提供的服务中所涉及的知识产权，包括但不限于乙方所提供服务产品、软件的版权等，均归乙方所有。未经乙方书面许可，甲方不得将之以任何方式向第三方转让、销售、复制或许可使用，或者利用该知识产权为自身、用户或第三方谋取任何利益，但协议文件另有约定的除外。</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5</w:t>
      </w:r>
      <w:r>
        <w:rPr>
          <w:rFonts w:hint="eastAsia" w:ascii="仿宋" w:hAnsi="仿宋" w:eastAsia="仿宋" w:cs="仿宋"/>
          <w:sz w:val="18"/>
          <w:szCs w:val="18"/>
        </w:rPr>
        <w:t>.2 由于不可抗力致使甲乙双方或任何一方不能履行或不能完全履行协议文件的义务和责任时，遭受不可抗力的一方必须及时通知另一方，说明终止或延期履行全部或部分协议的理由，并提供有关证明文件。根据不可抗力终止履行或延期履行全部或部分协议，双方对此造成的损失互不承担责任。不可抗力是指协议各方不能预见、不能避免、不能克服的客观情况。此外，鉴于网络的特殊属性，发生包括但不限于下列任何情形导致协议无法继续履行的，各方均可终止协议且免责：</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（1）黑客攻击、计算机病毒侵入或发作；</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（2）计算机系统遭到破坏、瘫痪或无法正常使用而导致信息或记录丢失的；</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（3）电信部门技术调整导致重大影响的。</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5</w:t>
      </w:r>
      <w:r>
        <w:rPr>
          <w:rFonts w:hint="eastAsia" w:ascii="仿宋" w:hAnsi="仿宋" w:eastAsia="仿宋" w:cs="仿宋"/>
          <w:sz w:val="18"/>
          <w:szCs w:val="18"/>
        </w:rPr>
        <w:t>.3 甲乙双方任何一方处理协议文件项下事务时，根据本协议《特约商户业务申请表》或补充协议及其他业务文件中登记的注册地址/营业地址/办公地址/代理人联系地址，以及法定代表人/负责人/经营者、实际控制人、受益所有人、代理人、联系人的联系电话或电子邮箱等联系信息向对方履行通知、文件物品（包括但不限于设备、文件及资料等）递送义务，即视为有效送达。若因一方联系信息变更后未在5个工作日内书面通知对方或联系信息登记不准确、不完整以及故意不签收导致未能收到对方的通知、文件物品的，自对方发送之日起第5个工作日（含）视为送达之日。电子送达与书面送达具有同等法律效力。</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5</w:t>
      </w:r>
      <w:r>
        <w:rPr>
          <w:rFonts w:hint="eastAsia" w:ascii="仿宋" w:hAnsi="仿宋" w:eastAsia="仿宋" w:cs="仿宋"/>
          <w:sz w:val="18"/>
          <w:szCs w:val="18"/>
        </w:rPr>
        <w:t>.4 乙方就协议文件项下网络支付服务为甲方提供在线客服、客服电话或电子邮箱等多种联系方式的服务渠道。甲方咨询、核实、投诉或履行通知、文件物品递送义务，在协议文件未约定或所约定通讯或地址信息变更而无法联系的，甲方拨打乙方</w:t>
      </w:r>
      <w:r>
        <w:rPr>
          <w:rFonts w:hint="eastAsia" w:ascii="仿宋" w:hAnsi="仿宋" w:eastAsia="仿宋" w:cs="仿宋"/>
          <w:b/>
          <w:bCs/>
          <w:sz w:val="18"/>
          <w:szCs w:val="18"/>
        </w:rPr>
        <w:t>客服热线电话：1010-8989</w:t>
      </w:r>
      <w:r>
        <w:rPr>
          <w:rFonts w:hint="eastAsia" w:ascii="仿宋" w:hAnsi="仿宋" w:eastAsia="仿宋" w:cs="仿宋"/>
          <w:sz w:val="18"/>
          <w:szCs w:val="18"/>
        </w:rPr>
        <w:t>通知乙方或获取最新的通讯、地址信息。</w:t>
      </w:r>
    </w:p>
    <w:p>
      <w:pPr>
        <w:adjustRightInd w:val="0"/>
        <w:snapToGrid w:val="0"/>
        <w:spacing w:line="240" w:lineRule="auto"/>
        <w:ind w:firstLine="360" w:firstLineChars="200"/>
        <w:rPr>
          <w:rFonts w:ascii="仿宋" w:hAnsi="仿宋" w:eastAsia="仿宋" w:cs="仿宋"/>
          <w:b/>
          <w:bCs/>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5</w:t>
      </w:r>
      <w:r>
        <w:rPr>
          <w:rFonts w:hint="eastAsia" w:ascii="仿宋" w:hAnsi="仿宋" w:eastAsia="仿宋" w:cs="仿宋"/>
          <w:sz w:val="18"/>
          <w:szCs w:val="18"/>
        </w:rPr>
        <w:t xml:space="preserve">.5 </w:t>
      </w:r>
      <w:r>
        <w:rPr>
          <w:rFonts w:hint="eastAsia" w:ascii="仿宋" w:hAnsi="仿宋" w:eastAsia="仿宋" w:cs="仿宋"/>
          <w:b/>
          <w:bCs/>
          <w:sz w:val="18"/>
          <w:szCs w:val="18"/>
          <w:lang w:val="en-US" w:eastAsia="zh-CN"/>
        </w:rPr>
        <w:t>双方同意使用互联网信息技术以数据电文形式订立本协议并认同其效力，双方均认可电子签章的效力并承诺接受本协议的约束，</w:t>
      </w:r>
      <w:r>
        <w:rPr>
          <w:rFonts w:hint="eastAsia" w:ascii="仿宋" w:hAnsi="仿宋" w:eastAsia="仿宋" w:cs="仿宋"/>
          <w:b/>
          <w:bCs/>
          <w:sz w:val="18"/>
          <w:szCs w:val="18"/>
        </w:rPr>
        <w:t>自甲方</w:t>
      </w:r>
      <w:r>
        <w:rPr>
          <w:rFonts w:hint="eastAsia" w:ascii="仿宋" w:hAnsi="仿宋" w:eastAsia="仿宋" w:cs="仿宋"/>
          <w:b/>
          <w:bCs/>
          <w:sz w:val="18"/>
          <w:szCs w:val="18"/>
          <w:lang w:val="en-US" w:eastAsia="zh-CN"/>
        </w:rPr>
        <w:t>勾选或提交签署本协议之时</w:t>
      </w:r>
      <w:r>
        <w:rPr>
          <w:rFonts w:hint="eastAsia" w:ascii="仿宋" w:hAnsi="仿宋" w:eastAsia="仿宋" w:cs="仿宋"/>
          <w:b/>
          <w:bCs/>
          <w:sz w:val="18"/>
          <w:szCs w:val="18"/>
        </w:rPr>
        <w:t>起生效，有效期1年</w:t>
      </w:r>
      <w:r>
        <w:rPr>
          <w:rFonts w:hint="eastAsia" w:ascii="仿宋" w:hAnsi="仿宋" w:eastAsia="仿宋" w:cs="仿宋"/>
          <w:sz w:val="18"/>
          <w:szCs w:val="18"/>
        </w:rPr>
        <w:t>。</w:t>
      </w:r>
      <w:r>
        <w:rPr>
          <w:rFonts w:hint="eastAsia" w:ascii="仿宋" w:hAnsi="仿宋" w:eastAsia="仿宋" w:cs="仿宋"/>
          <w:b/>
          <w:bCs/>
          <w:sz w:val="18"/>
          <w:szCs w:val="18"/>
        </w:rPr>
        <w:t>若有效期届满前双方均未以书面形式向对方提出异议</w:t>
      </w:r>
      <w:r>
        <w:rPr>
          <w:rFonts w:hint="eastAsia" w:ascii="仿宋" w:hAnsi="仿宋" w:eastAsia="仿宋" w:cs="仿宋"/>
          <w:b/>
          <w:bCs/>
          <w:sz w:val="18"/>
          <w:szCs w:val="18"/>
          <w:lang w:eastAsia="zh-CN"/>
        </w:rPr>
        <w:t>，</w:t>
      </w:r>
      <w:r>
        <w:rPr>
          <w:rFonts w:hint="eastAsia" w:ascii="仿宋" w:hAnsi="仿宋" w:eastAsia="仿宋" w:cs="仿宋"/>
          <w:b/>
          <w:bCs/>
          <w:sz w:val="18"/>
          <w:szCs w:val="18"/>
          <w:lang w:eastAsia="zh-TW"/>
        </w:rPr>
        <w:t>且本协议双方在有效期届满后继续履行本协议约定</w:t>
      </w:r>
      <w:r>
        <w:rPr>
          <w:rFonts w:hint="eastAsia" w:ascii="仿宋" w:hAnsi="仿宋" w:eastAsia="仿宋" w:cs="仿宋"/>
          <w:b/>
          <w:bCs/>
          <w:sz w:val="18"/>
          <w:szCs w:val="18"/>
        </w:rPr>
        <w:t>的，则协议文件自动延续1年，顺延次数不限。</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5</w:t>
      </w:r>
      <w:r>
        <w:rPr>
          <w:rFonts w:hint="eastAsia" w:ascii="仿宋" w:hAnsi="仿宋" w:eastAsia="仿宋" w:cs="仿宋"/>
          <w:sz w:val="18"/>
          <w:szCs w:val="18"/>
        </w:rPr>
        <w:t>.6 本协议有效期内，如需变更或补充本协议的，应经双方协商一致后以书面方式签署补充协议，补充协议条款与本协议冲突的以补充协议为准。本协议任何条款如被确认无效,不影响本协议中任何其他条款的效力。</w:t>
      </w:r>
    </w:p>
    <w:p>
      <w:pPr>
        <w:adjustRightInd w:val="0"/>
        <w:snapToGrid w:val="0"/>
        <w:spacing w:line="240" w:lineRule="auto"/>
        <w:ind w:firstLine="360" w:firstLineChars="200"/>
        <w:rPr>
          <w:rFonts w:ascii="仿宋" w:hAnsi="仿宋" w:eastAsia="仿宋" w:cs="仿宋"/>
          <w:sz w:val="18"/>
          <w:szCs w:val="18"/>
        </w:rPr>
      </w:pPr>
      <w:r>
        <w:rPr>
          <w:rFonts w:hint="eastAsia" w:ascii="仿宋" w:hAnsi="仿宋" w:eastAsia="仿宋" w:cs="仿宋"/>
          <w:sz w:val="18"/>
          <w:szCs w:val="18"/>
        </w:rPr>
        <w:t>1</w:t>
      </w:r>
      <w:r>
        <w:rPr>
          <w:rFonts w:hint="eastAsia" w:ascii="仿宋" w:hAnsi="仿宋" w:eastAsia="仿宋" w:cs="仿宋"/>
          <w:sz w:val="18"/>
          <w:szCs w:val="18"/>
          <w:lang w:val="en-US" w:eastAsia="zh-CN"/>
        </w:rPr>
        <w:t>5</w:t>
      </w:r>
      <w:r>
        <w:rPr>
          <w:rFonts w:hint="eastAsia" w:ascii="仿宋" w:hAnsi="仿宋" w:eastAsia="仿宋" w:cs="仿宋"/>
          <w:sz w:val="18"/>
          <w:szCs w:val="18"/>
        </w:rPr>
        <w:t>.7 协议文件由本协议（含《特约商户业务申请表》）、补充协议及双方交互的其他书面业务文件组成，本协议一式两份，甲、乙双方各执一份，每份具有同等法律效力。</w:t>
      </w:r>
    </w:p>
    <w:p>
      <w:pPr>
        <w:adjustRightInd w:val="0"/>
        <w:snapToGrid w:val="0"/>
        <w:spacing w:line="240" w:lineRule="auto"/>
        <w:jc w:val="center"/>
        <w:rPr>
          <w:rFonts w:hint="default" w:ascii="仿宋" w:hAnsi="仿宋" w:eastAsia="仿宋" w:cs="仿宋"/>
          <w:b/>
          <w:bCs/>
          <w:sz w:val="18"/>
          <w:szCs w:val="18"/>
          <w:u w:val="single"/>
          <w:lang w:val="en-US" w:eastAsia="zh-CN"/>
        </w:rPr>
      </w:pPr>
      <w:r>
        <w:rPr>
          <w:rFonts w:hint="eastAsia" w:ascii="仿宋" w:hAnsi="仿宋" w:eastAsia="仿宋" w:cs="仿宋"/>
          <w:b/>
          <w:bCs/>
          <w:sz w:val="18"/>
          <w:szCs w:val="18"/>
          <w:u w:val="single"/>
          <w:lang w:eastAsia="zh-CN"/>
        </w:rPr>
        <w:t>（</w:t>
      </w:r>
      <w:r>
        <w:rPr>
          <w:rFonts w:hint="eastAsia" w:ascii="仿宋" w:hAnsi="仿宋" w:eastAsia="仿宋" w:cs="仿宋"/>
          <w:b/>
          <w:bCs/>
          <w:sz w:val="18"/>
          <w:szCs w:val="18"/>
          <w:u w:val="single"/>
          <w:lang w:val="en-US" w:eastAsia="zh-CN"/>
        </w:rPr>
        <w:t>以下无正文）</w:t>
      </w:r>
    </w:p>
    <w:p>
      <w:pPr>
        <w:adjustRightInd w:val="0"/>
        <w:snapToGrid w:val="0"/>
        <w:spacing w:line="240" w:lineRule="auto"/>
        <w:rPr>
          <w:rFonts w:hint="eastAsia" w:ascii="仿宋" w:hAnsi="仿宋" w:eastAsia="仿宋" w:cs="仿宋"/>
          <w:sz w:val="18"/>
          <w:szCs w:val="18"/>
        </w:rPr>
      </w:pPr>
      <w:r>
        <w:rPr>
          <w:rFonts w:hint="eastAsia" w:ascii="仿宋" w:hAnsi="仿宋" w:eastAsia="仿宋" w:cs="仿宋"/>
          <w:sz w:val="18"/>
          <w:szCs w:val="18"/>
        </w:rPr>
        <w:t xml:space="preserve"> </w:t>
      </w:r>
    </w:p>
    <w:p>
      <w:pPr>
        <w:adjustRightInd w:val="0"/>
        <w:snapToGrid w:val="0"/>
        <w:spacing w:line="240" w:lineRule="auto"/>
        <w:rPr>
          <w:rFonts w:ascii="仿宋" w:hAnsi="仿宋" w:eastAsia="仿宋" w:cs="仿宋"/>
          <w:sz w:val="18"/>
          <w:szCs w:val="18"/>
        </w:rPr>
        <w:sectPr>
          <w:type w:val="continuous"/>
          <w:pgSz w:w="11906" w:h="16838"/>
          <w:pgMar w:top="873" w:right="856" w:bottom="873" w:left="856" w:header="57" w:footer="482" w:gutter="0"/>
          <w:cols w:equalWidth="0" w:num="2">
            <w:col w:w="4884" w:space="425"/>
            <w:col w:w="4884"/>
          </w:cols>
          <w:titlePg/>
          <w:docGrid w:type="lines" w:linePitch="312" w:charSpace="0"/>
        </w:sectPr>
      </w:pPr>
    </w:p>
    <w:p>
      <w:pPr>
        <w:adjustRightInd w:val="0"/>
        <w:snapToGrid w:val="0"/>
        <w:spacing w:line="240" w:lineRule="auto"/>
        <w:ind w:firstLine="360" w:firstLineChars="200"/>
        <w:rPr>
          <w:rFonts w:hint="eastAsia" w:ascii="仿宋" w:hAnsi="仿宋" w:eastAsia="仿宋" w:cs="仿宋"/>
          <w:sz w:val="18"/>
          <w:szCs w:val="18"/>
        </w:rPr>
      </w:pPr>
    </w:p>
    <w:p>
      <w:pPr>
        <w:adjustRightInd w:val="0"/>
        <w:snapToGrid w:val="0"/>
        <w:spacing w:line="240" w:lineRule="auto"/>
        <w:ind w:firstLine="360" w:firstLineChars="200"/>
        <w:rPr>
          <w:rFonts w:hint="default" w:ascii="仿宋" w:hAnsi="仿宋" w:eastAsia="仿宋" w:cs="仿宋"/>
          <w:sz w:val="18"/>
          <w:szCs w:val="18"/>
          <w:u w:val="single"/>
          <w:lang w:val="en-US" w:eastAsia="zh-CN"/>
        </w:rPr>
      </w:pPr>
      <w:r>
        <w:rPr>
          <w:rFonts w:hint="eastAsia" w:ascii="仿宋" w:hAnsi="仿宋" w:eastAsia="仿宋" w:cs="仿宋"/>
          <w:sz w:val="18"/>
          <w:szCs w:val="18"/>
        </w:rPr>
        <w:t>甲方（盖章）：</w:t>
      </w:r>
      <w:permStart w:id="84" w:edGrp="everyone"/>
      <w:r>
        <w:rPr>
          <w:rFonts w:hint="eastAsia" w:ascii="仿宋" w:hAnsi="仿宋" w:eastAsia="仿宋" w:cs="仿宋"/>
          <w:sz w:val="18"/>
          <w:szCs w:val="18"/>
          <w:u w:val="single"/>
          <w:lang w:val="en-US" w:eastAsia="zh-CN"/>
        </w:rPr>
        <w:t xml:space="preserve">                   </w:t>
      </w:r>
      <w:permEnd w:id="84"/>
      <w:r>
        <w:rPr>
          <w:rFonts w:hint="eastAsia" w:ascii="仿宋" w:hAnsi="仿宋" w:eastAsia="仿宋" w:cs="仿宋"/>
          <w:sz w:val="18"/>
          <w:szCs w:val="18"/>
        </w:rPr>
        <w:t xml:space="preserve">  </w:t>
      </w:r>
      <w:r>
        <w:rPr>
          <w:rFonts w:hint="eastAsia" w:ascii="仿宋" w:hAnsi="仿宋" w:eastAsia="仿宋" w:cs="仿宋"/>
          <w:sz w:val="18"/>
          <w:szCs w:val="18"/>
          <w:lang w:val="en-US" w:eastAsia="zh-CN"/>
        </w:rPr>
        <w:t xml:space="preserve">                     </w:t>
      </w:r>
      <w:r>
        <w:rPr>
          <w:rFonts w:hint="eastAsia" w:ascii="仿宋" w:hAnsi="仿宋" w:eastAsia="仿宋" w:cs="仿宋"/>
          <w:sz w:val="18"/>
          <w:szCs w:val="18"/>
        </w:rPr>
        <w:t>乙方（盖章）：银盛支付服务股份有限公司</w:t>
      </w:r>
      <w:permStart w:id="85" w:edGrp="everyone"/>
      <w:r>
        <w:rPr>
          <w:rFonts w:hint="eastAsia" w:ascii="仿宋" w:hAnsi="仿宋" w:eastAsia="仿宋" w:cs="仿宋"/>
          <w:sz w:val="18"/>
          <w:szCs w:val="18"/>
          <w:u w:val="single"/>
          <w:lang w:val="en-US" w:eastAsia="zh-CN"/>
        </w:rPr>
        <w:t xml:space="preserve">          </w:t>
      </w:r>
      <w:permEnd w:id="85"/>
    </w:p>
    <w:p>
      <w:pPr>
        <w:adjustRightInd w:val="0"/>
        <w:snapToGrid w:val="0"/>
        <w:spacing w:line="240" w:lineRule="auto"/>
        <w:ind w:firstLine="0" w:firstLineChars="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w:t>
      </w:r>
    </w:p>
    <w:p>
      <w:pPr>
        <w:adjustRightInd w:val="0"/>
        <w:snapToGrid w:val="0"/>
        <w:spacing w:line="240" w:lineRule="auto"/>
        <w:ind w:firstLine="0" w:firstLineChars="0"/>
        <w:rPr>
          <w:rFonts w:hint="eastAsia" w:ascii="仿宋" w:hAnsi="仿宋" w:eastAsia="仿宋" w:cs="仿宋"/>
          <w:sz w:val="18"/>
          <w:szCs w:val="18"/>
          <w:lang w:val="en-US" w:eastAsia="zh-CN"/>
        </w:rPr>
      </w:pPr>
    </w:p>
    <w:p>
      <w:pPr>
        <w:adjustRightInd w:val="0"/>
        <w:snapToGrid w:val="0"/>
        <w:spacing w:line="240" w:lineRule="auto"/>
        <w:ind w:firstLine="900" w:firstLineChars="500"/>
        <w:rPr>
          <w:rFonts w:ascii="华文楷体" w:hAnsi="华文楷体" w:eastAsia="华文楷体" w:cs="华文楷体"/>
          <w:sz w:val="18"/>
          <w:szCs w:val="18"/>
        </w:rPr>
      </w:pPr>
      <w:r>
        <w:rPr>
          <w:rFonts w:hint="eastAsia" w:ascii="仿宋" w:hAnsi="仿宋" w:eastAsia="仿宋" w:cs="仿宋"/>
          <w:sz w:val="18"/>
          <w:szCs w:val="18"/>
          <w:lang w:val="en-US" w:eastAsia="zh-CN"/>
        </w:rPr>
        <w:t xml:space="preserve"> </w:t>
      </w:r>
      <w:permStart w:id="86" w:edGrp="everyone"/>
      <w:r>
        <w:rPr>
          <w:rFonts w:hint="eastAsia" w:ascii="仿宋" w:hAnsi="仿宋" w:eastAsia="仿宋" w:cs="仿宋"/>
          <w:sz w:val="18"/>
          <w:szCs w:val="18"/>
          <w:u w:val="single"/>
          <w:lang w:val="en-US" w:eastAsia="zh-CN"/>
        </w:rPr>
        <w:t xml:space="preserve">      </w:t>
      </w:r>
      <w:r>
        <w:rPr>
          <w:rFonts w:hint="eastAsia" w:ascii="仿宋" w:hAnsi="仿宋" w:eastAsia="仿宋" w:cs="仿宋"/>
          <w:sz w:val="18"/>
          <w:szCs w:val="18"/>
        </w:rPr>
        <w:t>年</w:t>
      </w:r>
      <w:r>
        <w:rPr>
          <w:rFonts w:hint="eastAsia" w:ascii="仿宋" w:hAnsi="仿宋" w:eastAsia="仿宋" w:cs="仿宋"/>
          <w:sz w:val="18"/>
          <w:szCs w:val="18"/>
          <w:u w:val="single"/>
        </w:rPr>
        <w:t xml:space="preserve">  </w:t>
      </w:r>
      <w:r>
        <w:rPr>
          <w:rFonts w:hint="eastAsia" w:ascii="仿宋" w:hAnsi="仿宋" w:eastAsia="仿宋" w:cs="仿宋"/>
          <w:sz w:val="18"/>
          <w:szCs w:val="18"/>
          <w:u w:val="single"/>
          <w:lang w:val="en-US" w:eastAsia="zh-CN"/>
        </w:rPr>
        <w:t xml:space="preserve">   </w:t>
      </w:r>
      <w:r>
        <w:rPr>
          <w:rFonts w:hint="eastAsia" w:ascii="仿宋" w:hAnsi="仿宋" w:eastAsia="仿宋" w:cs="仿宋"/>
          <w:sz w:val="18"/>
          <w:szCs w:val="18"/>
          <w:u w:val="single"/>
        </w:rPr>
        <w:t xml:space="preserve"> </w:t>
      </w:r>
      <w:r>
        <w:rPr>
          <w:rFonts w:hint="eastAsia" w:ascii="仿宋" w:hAnsi="仿宋" w:eastAsia="仿宋" w:cs="仿宋"/>
          <w:sz w:val="18"/>
          <w:szCs w:val="18"/>
        </w:rPr>
        <w:t>月</w:t>
      </w:r>
      <w:r>
        <w:rPr>
          <w:rFonts w:hint="eastAsia" w:ascii="仿宋" w:hAnsi="仿宋" w:eastAsia="仿宋" w:cs="仿宋"/>
          <w:sz w:val="18"/>
          <w:szCs w:val="18"/>
          <w:u w:val="single"/>
          <w:lang w:val="en-US" w:eastAsia="zh-CN"/>
        </w:rPr>
        <w:t xml:space="preserve">    </w:t>
      </w:r>
      <w:r>
        <w:rPr>
          <w:rFonts w:hint="eastAsia" w:ascii="仿宋" w:hAnsi="仿宋" w:eastAsia="仿宋" w:cs="仿宋"/>
          <w:sz w:val="18"/>
          <w:szCs w:val="18"/>
        </w:rPr>
        <w:t>日</w:t>
      </w:r>
      <w:permEnd w:id="86"/>
      <w:r>
        <w:rPr>
          <w:rFonts w:hint="eastAsia" w:ascii="仿宋" w:hAnsi="仿宋" w:eastAsia="仿宋" w:cs="仿宋"/>
          <w:sz w:val="18"/>
          <w:szCs w:val="18"/>
          <w:lang w:val="en-US" w:eastAsia="zh-CN"/>
        </w:rPr>
        <w:t xml:space="preserve">                                        </w:t>
      </w:r>
      <w:permStart w:id="87" w:edGrp="everyone"/>
      <w:r>
        <w:rPr>
          <w:rFonts w:hint="eastAsia" w:ascii="仿宋" w:hAnsi="仿宋" w:eastAsia="仿宋" w:cs="仿宋"/>
          <w:sz w:val="18"/>
          <w:szCs w:val="18"/>
          <w:u w:val="single"/>
          <w:lang w:val="en-US" w:eastAsia="zh-CN"/>
        </w:rPr>
        <w:t xml:space="preserve">        </w:t>
      </w:r>
      <w:r>
        <w:rPr>
          <w:rFonts w:hint="eastAsia" w:ascii="仿宋" w:hAnsi="仿宋" w:eastAsia="仿宋" w:cs="仿宋"/>
          <w:sz w:val="18"/>
          <w:szCs w:val="18"/>
        </w:rPr>
        <w:t>年</w:t>
      </w:r>
      <w:r>
        <w:rPr>
          <w:rFonts w:hint="eastAsia" w:ascii="仿宋" w:hAnsi="仿宋" w:eastAsia="仿宋" w:cs="仿宋"/>
          <w:sz w:val="18"/>
          <w:szCs w:val="18"/>
          <w:u w:val="single"/>
          <w:lang w:val="en-US" w:eastAsia="zh-CN"/>
        </w:rPr>
        <w:t xml:space="preserve">       </w:t>
      </w:r>
      <w:r>
        <w:rPr>
          <w:rFonts w:hint="eastAsia" w:ascii="仿宋" w:hAnsi="仿宋" w:eastAsia="仿宋" w:cs="仿宋"/>
          <w:sz w:val="18"/>
          <w:szCs w:val="18"/>
        </w:rPr>
        <w:t>月</w:t>
      </w:r>
      <w:r>
        <w:rPr>
          <w:rFonts w:hint="eastAsia" w:ascii="仿宋" w:hAnsi="仿宋" w:eastAsia="仿宋" w:cs="仿宋"/>
          <w:sz w:val="18"/>
          <w:szCs w:val="18"/>
          <w:u w:val="single"/>
          <w:lang w:val="en-US" w:eastAsia="zh-CN"/>
        </w:rPr>
        <w:t xml:space="preserve">        </w:t>
      </w:r>
      <w:r>
        <w:rPr>
          <w:rFonts w:hint="eastAsia" w:ascii="仿宋" w:hAnsi="仿宋" w:eastAsia="仿宋" w:cs="仿宋"/>
          <w:sz w:val="18"/>
          <w:szCs w:val="18"/>
        </w:rPr>
        <w:t>日</w:t>
      </w:r>
      <w:permEnd w:id="87"/>
      <w:r>
        <w:rPr>
          <w:rFonts w:hint="eastAsia" w:ascii="仿宋" w:hAnsi="仿宋" w:eastAsia="仿宋" w:cs="仿宋"/>
          <w:sz w:val="18"/>
          <w:szCs w:val="18"/>
        </w:rPr>
        <w:t xml:space="preserve">                                                                                                                                                                             </w:t>
      </w:r>
    </w:p>
    <w:sectPr>
      <w:type w:val="continuous"/>
      <w:pgSz w:w="11906" w:h="16838"/>
      <w:pgMar w:top="873" w:right="856" w:bottom="873" w:left="856" w:header="227" w:footer="482" w:gutter="0"/>
      <w:pgNumType w:start="1"/>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4107" o:spid="_x0000_s4107" o:spt="136" type="#_x0000_t136" style="position:absolute;left:0pt;margin-left:16.7pt;margin-top:532.75pt;height:60.35pt;width:184.9pt;mso-position-horizontal-relative:margin;mso-position-vertical-relative:margin;rotation:-2949120f;z-index:-251644928;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w:rPr>
        <w:sz w:val="18"/>
      </w:rPr>
      <w:pict>
        <v:shape id="_x0000_s4108" o:spid="_x0000_s4108" o:spt="136" type="#_x0000_t136" style="position:absolute;left:0pt;margin-left:262.55pt;margin-top:592.25pt;height:60.35pt;width:184.9pt;mso-position-horizontal-relative:margin;mso-position-vertical-relative:margin;rotation:-2949120f;z-index:-251643904;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华文楷体" w:hAnsi="华文楷体" w:eastAsia="华文楷体" w:cs="华文楷体"/>
                              <w:sz w:val="15"/>
                              <w:szCs w:val="15"/>
                            </w:rPr>
                          </w:pPr>
                          <w:r>
                            <w:rPr>
                              <w:rFonts w:hint="eastAsia" w:ascii="华文楷体" w:hAnsi="华文楷体" w:eastAsia="华文楷体" w:cs="华文楷体"/>
                              <w:sz w:val="15"/>
                              <w:szCs w:val="15"/>
                            </w:rPr>
                            <w:t xml:space="preserve">第 </w:t>
                          </w:r>
                          <w:r>
                            <w:rPr>
                              <w:rFonts w:hint="eastAsia" w:ascii="华文楷体" w:hAnsi="华文楷体" w:eastAsia="华文楷体" w:cs="华文楷体"/>
                              <w:sz w:val="15"/>
                              <w:szCs w:val="15"/>
                            </w:rPr>
                            <w:fldChar w:fldCharType="begin"/>
                          </w:r>
                          <w:r>
                            <w:rPr>
                              <w:rFonts w:hint="eastAsia" w:ascii="华文楷体" w:hAnsi="华文楷体" w:eastAsia="华文楷体" w:cs="华文楷体"/>
                              <w:sz w:val="15"/>
                              <w:szCs w:val="15"/>
                            </w:rPr>
                            <w:instrText xml:space="preserve"> PAGE  \* MERGEFORMAT </w:instrText>
                          </w:r>
                          <w:r>
                            <w:rPr>
                              <w:rFonts w:hint="eastAsia" w:ascii="华文楷体" w:hAnsi="华文楷体" w:eastAsia="华文楷体" w:cs="华文楷体"/>
                              <w:sz w:val="15"/>
                              <w:szCs w:val="15"/>
                            </w:rPr>
                            <w:fldChar w:fldCharType="separate"/>
                          </w:r>
                          <w:r>
                            <w:rPr>
                              <w:rFonts w:hint="eastAsia" w:ascii="华文楷体" w:hAnsi="华文楷体" w:eastAsia="华文楷体" w:cs="华文楷体"/>
                              <w:sz w:val="15"/>
                              <w:szCs w:val="15"/>
                            </w:rPr>
                            <w:t>2</w:t>
                          </w:r>
                          <w:r>
                            <w:rPr>
                              <w:rFonts w:hint="eastAsia" w:ascii="华文楷体" w:hAnsi="华文楷体" w:eastAsia="华文楷体" w:cs="华文楷体"/>
                              <w:sz w:val="15"/>
                              <w:szCs w:val="15"/>
                            </w:rPr>
                            <w:fldChar w:fldCharType="end"/>
                          </w:r>
                          <w:r>
                            <w:rPr>
                              <w:rFonts w:hint="eastAsia" w:ascii="华文楷体" w:hAnsi="华文楷体" w:eastAsia="华文楷体" w:cs="华文楷体"/>
                              <w:sz w:val="15"/>
                              <w:szCs w:val="15"/>
                            </w:rPr>
                            <w:t xml:space="preserve"> 页 共 </w:t>
                          </w:r>
                          <w:r>
                            <w:rPr>
                              <w:rFonts w:hint="eastAsia" w:ascii="华文楷体" w:hAnsi="华文楷体" w:eastAsia="华文楷体" w:cs="华文楷体"/>
                              <w:sz w:val="15"/>
                              <w:szCs w:val="15"/>
                            </w:rPr>
                            <w:fldChar w:fldCharType="begin"/>
                          </w:r>
                          <w:r>
                            <w:rPr>
                              <w:rFonts w:hint="eastAsia" w:ascii="华文楷体" w:hAnsi="华文楷体" w:eastAsia="华文楷体" w:cs="华文楷体"/>
                              <w:sz w:val="15"/>
                              <w:szCs w:val="15"/>
                            </w:rPr>
                            <w:instrText xml:space="preserve"> NUMPAGES  \* MERGEFORMAT </w:instrText>
                          </w:r>
                          <w:r>
                            <w:rPr>
                              <w:rFonts w:hint="eastAsia" w:ascii="华文楷体" w:hAnsi="华文楷体" w:eastAsia="华文楷体" w:cs="华文楷体"/>
                              <w:sz w:val="15"/>
                              <w:szCs w:val="15"/>
                            </w:rPr>
                            <w:fldChar w:fldCharType="separate"/>
                          </w:r>
                          <w:r>
                            <w:rPr>
                              <w:rFonts w:hint="eastAsia" w:ascii="华文楷体" w:hAnsi="华文楷体" w:eastAsia="华文楷体" w:cs="华文楷体"/>
                              <w:sz w:val="15"/>
                              <w:szCs w:val="15"/>
                            </w:rPr>
                            <w:t>9</w:t>
                          </w:r>
                          <w:r>
                            <w:rPr>
                              <w:rFonts w:hint="eastAsia" w:ascii="华文楷体" w:hAnsi="华文楷体" w:eastAsia="华文楷体" w:cs="华文楷体"/>
                              <w:sz w:val="15"/>
                              <w:szCs w:val="15"/>
                            </w:rPr>
                            <w:fldChar w:fldCharType="end"/>
                          </w:r>
                          <w:r>
                            <w:rPr>
                              <w:rFonts w:hint="eastAsia" w:ascii="华文楷体" w:hAnsi="华文楷体" w:eastAsia="华文楷体" w:cs="华文楷体"/>
                              <w:sz w:val="15"/>
                              <w:szCs w:val="15"/>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5"/>
                      <w:rPr>
                        <w:rFonts w:ascii="华文楷体" w:hAnsi="华文楷体" w:eastAsia="华文楷体" w:cs="华文楷体"/>
                        <w:sz w:val="15"/>
                        <w:szCs w:val="15"/>
                      </w:rPr>
                    </w:pPr>
                    <w:r>
                      <w:rPr>
                        <w:rFonts w:hint="eastAsia" w:ascii="华文楷体" w:hAnsi="华文楷体" w:eastAsia="华文楷体" w:cs="华文楷体"/>
                        <w:sz w:val="15"/>
                        <w:szCs w:val="15"/>
                      </w:rPr>
                      <w:t xml:space="preserve">第 </w:t>
                    </w:r>
                    <w:r>
                      <w:rPr>
                        <w:rFonts w:hint="eastAsia" w:ascii="华文楷体" w:hAnsi="华文楷体" w:eastAsia="华文楷体" w:cs="华文楷体"/>
                        <w:sz w:val="15"/>
                        <w:szCs w:val="15"/>
                      </w:rPr>
                      <w:fldChar w:fldCharType="begin"/>
                    </w:r>
                    <w:r>
                      <w:rPr>
                        <w:rFonts w:hint="eastAsia" w:ascii="华文楷体" w:hAnsi="华文楷体" w:eastAsia="华文楷体" w:cs="华文楷体"/>
                        <w:sz w:val="15"/>
                        <w:szCs w:val="15"/>
                      </w:rPr>
                      <w:instrText xml:space="preserve"> PAGE  \* MERGEFORMAT </w:instrText>
                    </w:r>
                    <w:r>
                      <w:rPr>
                        <w:rFonts w:hint="eastAsia" w:ascii="华文楷体" w:hAnsi="华文楷体" w:eastAsia="华文楷体" w:cs="华文楷体"/>
                        <w:sz w:val="15"/>
                        <w:szCs w:val="15"/>
                      </w:rPr>
                      <w:fldChar w:fldCharType="separate"/>
                    </w:r>
                    <w:r>
                      <w:rPr>
                        <w:rFonts w:hint="eastAsia" w:ascii="华文楷体" w:hAnsi="华文楷体" w:eastAsia="华文楷体" w:cs="华文楷体"/>
                        <w:sz w:val="15"/>
                        <w:szCs w:val="15"/>
                      </w:rPr>
                      <w:t>2</w:t>
                    </w:r>
                    <w:r>
                      <w:rPr>
                        <w:rFonts w:hint="eastAsia" w:ascii="华文楷体" w:hAnsi="华文楷体" w:eastAsia="华文楷体" w:cs="华文楷体"/>
                        <w:sz w:val="15"/>
                        <w:szCs w:val="15"/>
                      </w:rPr>
                      <w:fldChar w:fldCharType="end"/>
                    </w:r>
                    <w:r>
                      <w:rPr>
                        <w:rFonts w:hint="eastAsia" w:ascii="华文楷体" w:hAnsi="华文楷体" w:eastAsia="华文楷体" w:cs="华文楷体"/>
                        <w:sz w:val="15"/>
                        <w:szCs w:val="15"/>
                      </w:rPr>
                      <w:t xml:space="preserve"> 页 共 </w:t>
                    </w:r>
                    <w:r>
                      <w:rPr>
                        <w:rFonts w:hint="eastAsia" w:ascii="华文楷体" w:hAnsi="华文楷体" w:eastAsia="华文楷体" w:cs="华文楷体"/>
                        <w:sz w:val="15"/>
                        <w:szCs w:val="15"/>
                      </w:rPr>
                      <w:fldChar w:fldCharType="begin"/>
                    </w:r>
                    <w:r>
                      <w:rPr>
                        <w:rFonts w:hint="eastAsia" w:ascii="华文楷体" w:hAnsi="华文楷体" w:eastAsia="华文楷体" w:cs="华文楷体"/>
                        <w:sz w:val="15"/>
                        <w:szCs w:val="15"/>
                      </w:rPr>
                      <w:instrText xml:space="preserve"> NUMPAGES  \* MERGEFORMAT </w:instrText>
                    </w:r>
                    <w:r>
                      <w:rPr>
                        <w:rFonts w:hint="eastAsia" w:ascii="华文楷体" w:hAnsi="华文楷体" w:eastAsia="华文楷体" w:cs="华文楷体"/>
                        <w:sz w:val="15"/>
                        <w:szCs w:val="15"/>
                      </w:rPr>
                      <w:fldChar w:fldCharType="separate"/>
                    </w:r>
                    <w:r>
                      <w:rPr>
                        <w:rFonts w:hint="eastAsia" w:ascii="华文楷体" w:hAnsi="华文楷体" w:eastAsia="华文楷体" w:cs="华文楷体"/>
                        <w:sz w:val="15"/>
                        <w:szCs w:val="15"/>
                      </w:rPr>
                      <w:t>9</w:t>
                    </w:r>
                    <w:r>
                      <w:rPr>
                        <w:rFonts w:hint="eastAsia" w:ascii="华文楷体" w:hAnsi="华文楷体" w:eastAsia="华文楷体" w:cs="华文楷体"/>
                        <w:sz w:val="15"/>
                        <w:szCs w:val="15"/>
                      </w:rPr>
                      <w:fldChar w:fldCharType="end"/>
                    </w:r>
                    <w:r>
                      <w:rPr>
                        <w:rFonts w:hint="eastAsia" w:ascii="华文楷体" w:hAnsi="华文楷体" w:eastAsia="华文楷体" w:cs="华文楷体"/>
                        <w:sz w:val="15"/>
                        <w:szCs w:val="15"/>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华文楷体" w:hAnsi="华文楷体" w:eastAsia="华文楷体" w:cs="华文楷体"/>
      </w:rPr>
    </w:pPr>
    <w:r>
      <w:rPr>
        <w:sz w:val="18"/>
      </w:rPr>
      <w:pict>
        <v:shape id="_x0000_s4101" o:spid="_x0000_s4101" o:spt="136" type="#_x0000_t136" style="position:absolute;left:0pt;margin-left:292.25pt;margin-top:591.2pt;height:60.35pt;width:184.9pt;mso-position-horizontal-relative:margin;mso-position-vertical-relative:margin;rotation:-2949120f;z-index:-251649024;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w:rPr>
        <w:sz w:val="18"/>
      </w:rPr>
      <w:pict>
        <v:shape id="_x0000_s4102" o:spid="_x0000_s4102" o:spt="136" type="#_x0000_t136" style="position:absolute;left:0pt;margin-left:11.55pt;margin-top:591.15pt;height:60.35pt;width:184.9pt;mso-position-horizontal-relative:margin;mso-position-vertical-relative:margin;rotation:-2949120f;z-index:-251650048;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center"/>
                            <w:rPr>
                              <w:rFonts w:ascii="华文楷体" w:hAnsi="华文楷体" w:eastAsia="华文楷体" w:cs="华文楷体"/>
                              <w:sz w:val="15"/>
                              <w:szCs w:val="15"/>
                            </w:rPr>
                          </w:pPr>
                          <w:r>
                            <w:rPr>
                              <w:rFonts w:hint="eastAsia" w:ascii="华文楷体" w:hAnsi="华文楷体" w:eastAsia="华文楷体" w:cs="华文楷体"/>
                              <w:sz w:val="15"/>
                              <w:szCs w:val="15"/>
                            </w:rPr>
                            <w:t xml:space="preserve">第 </w:t>
                          </w:r>
                          <w:r>
                            <w:rPr>
                              <w:rFonts w:hint="eastAsia" w:ascii="华文楷体" w:hAnsi="华文楷体" w:eastAsia="华文楷体" w:cs="华文楷体"/>
                              <w:sz w:val="15"/>
                              <w:szCs w:val="15"/>
                            </w:rPr>
                            <w:fldChar w:fldCharType="begin"/>
                          </w:r>
                          <w:r>
                            <w:rPr>
                              <w:rFonts w:hint="eastAsia" w:ascii="华文楷体" w:hAnsi="华文楷体" w:eastAsia="华文楷体" w:cs="华文楷体"/>
                              <w:sz w:val="15"/>
                              <w:szCs w:val="15"/>
                            </w:rPr>
                            <w:instrText xml:space="preserve"> PAGE  \* MERGEFORMAT </w:instrText>
                          </w:r>
                          <w:r>
                            <w:rPr>
                              <w:rFonts w:hint="eastAsia" w:ascii="华文楷体" w:hAnsi="华文楷体" w:eastAsia="华文楷体" w:cs="华文楷体"/>
                              <w:sz w:val="15"/>
                              <w:szCs w:val="15"/>
                            </w:rPr>
                            <w:fldChar w:fldCharType="separate"/>
                          </w:r>
                          <w:r>
                            <w:rPr>
                              <w:rFonts w:hint="eastAsia" w:ascii="华文楷体" w:hAnsi="华文楷体" w:eastAsia="华文楷体" w:cs="华文楷体"/>
                              <w:sz w:val="15"/>
                              <w:szCs w:val="15"/>
                            </w:rPr>
                            <w:t>1</w:t>
                          </w:r>
                          <w:r>
                            <w:rPr>
                              <w:rFonts w:hint="eastAsia" w:ascii="华文楷体" w:hAnsi="华文楷体" w:eastAsia="华文楷体" w:cs="华文楷体"/>
                              <w:sz w:val="15"/>
                              <w:szCs w:val="15"/>
                            </w:rPr>
                            <w:fldChar w:fldCharType="end"/>
                          </w:r>
                          <w:r>
                            <w:rPr>
                              <w:rFonts w:hint="eastAsia" w:ascii="华文楷体" w:hAnsi="华文楷体" w:eastAsia="华文楷体" w:cs="华文楷体"/>
                              <w:sz w:val="15"/>
                              <w:szCs w:val="15"/>
                            </w:rPr>
                            <w:t xml:space="preserve"> 页 共 </w:t>
                          </w:r>
                          <w:r>
                            <w:rPr>
                              <w:rFonts w:hint="eastAsia" w:ascii="华文楷体" w:hAnsi="华文楷体" w:eastAsia="华文楷体" w:cs="华文楷体"/>
                              <w:sz w:val="15"/>
                              <w:szCs w:val="15"/>
                            </w:rPr>
                            <w:fldChar w:fldCharType="begin"/>
                          </w:r>
                          <w:r>
                            <w:rPr>
                              <w:rFonts w:hint="eastAsia" w:ascii="华文楷体" w:hAnsi="华文楷体" w:eastAsia="华文楷体" w:cs="华文楷体"/>
                              <w:sz w:val="15"/>
                              <w:szCs w:val="15"/>
                            </w:rPr>
                            <w:instrText xml:space="preserve"> NUMPAGES  \* MERGEFORMAT </w:instrText>
                          </w:r>
                          <w:r>
                            <w:rPr>
                              <w:rFonts w:hint="eastAsia" w:ascii="华文楷体" w:hAnsi="华文楷体" w:eastAsia="华文楷体" w:cs="华文楷体"/>
                              <w:sz w:val="15"/>
                              <w:szCs w:val="15"/>
                            </w:rPr>
                            <w:fldChar w:fldCharType="separate"/>
                          </w:r>
                          <w:r>
                            <w:rPr>
                              <w:rFonts w:hint="eastAsia" w:ascii="华文楷体" w:hAnsi="华文楷体" w:eastAsia="华文楷体" w:cs="华文楷体"/>
                              <w:sz w:val="15"/>
                              <w:szCs w:val="15"/>
                            </w:rPr>
                            <w:t>9</w:t>
                          </w:r>
                          <w:r>
                            <w:rPr>
                              <w:rFonts w:hint="eastAsia" w:ascii="华文楷体" w:hAnsi="华文楷体" w:eastAsia="华文楷体" w:cs="华文楷体"/>
                              <w:sz w:val="15"/>
                              <w:szCs w:val="15"/>
                            </w:rPr>
                            <w:fldChar w:fldCharType="end"/>
                          </w:r>
                          <w:r>
                            <w:rPr>
                              <w:rFonts w:hint="eastAsia" w:ascii="华文楷体" w:hAnsi="华文楷体" w:eastAsia="华文楷体" w:cs="华文楷体"/>
                              <w:sz w:val="15"/>
                              <w:szCs w:val="15"/>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5"/>
                      <w:jc w:val="center"/>
                      <w:rPr>
                        <w:rFonts w:ascii="华文楷体" w:hAnsi="华文楷体" w:eastAsia="华文楷体" w:cs="华文楷体"/>
                        <w:sz w:val="15"/>
                        <w:szCs w:val="15"/>
                      </w:rPr>
                    </w:pPr>
                    <w:r>
                      <w:rPr>
                        <w:rFonts w:hint="eastAsia" w:ascii="华文楷体" w:hAnsi="华文楷体" w:eastAsia="华文楷体" w:cs="华文楷体"/>
                        <w:sz w:val="15"/>
                        <w:szCs w:val="15"/>
                      </w:rPr>
                      <w:t xml:space="preserve">第 </w:t>
                    </w:r>
                    <w:r>
                      <w:rPr>
                        <w:rFonts w:hint="eastAsia" w:ascii="华文楷体" w:hAnsi="华文楷体" w:eastAsia="华文楷体" w:cs="华文楷体"/>
                        <w:sz w:val="15"/>
                        <w:szCs w:val="15"/>
                      </w:rPr>
                      <w:fldChar w:fldCharType="begin"/>
                    </w:r>
                    <w:r>
                      <w:rPr>
                        <w:rFonts w:hint="eastAsia" w:ascii="华文楷体" w:hAnsi="华文楷体" w:eastAsia="华文楷体" w:cs="华文楷体"/>
                        <w:sz w:val="15"/>
                        <w:szCs w:val="15"/>
                      </w:rPr>
                      <w:instrText xml:space="preserve"> PAGE  \* MERGEFORMAT </w:instrText>
                    </w:r>
                    <w:r>
                      <w:rPr>
                        <w:rFonts w:hint="eastAsia" w:ascii="华文楷体" w:hAnsi="华文楷体" w:eastAsia="华文楷体" w:cs="华文楷体"/>
                        <w:sz w:val="15"/>
                        <w:szCs w:val="15"/>
                      </w:rPr>
                      <w:fldChar w:fldCharType="separate"/>
                    </w:r>
                    <w:r>
                      <w:rPr>
                        <w:rFonts w:hint="eastAsia" w:ascii="华文楷体" w:hAnsi="华文楷体" w:eastAsia="华文楷体" w:cs="华文楷体"/>
                        <w:sz w:val="15"/>
                        <w:szCs w:val="15"/>
                      </w:rPr>
                      <w:t>1</w:t>
                    </w:r>
                    <w:r>
                      <w:rPr>
                        <w:rFonts w:hint="eastAsia" w:ascii="华文楷体" w:hAnsi="华文楷体" w:eastAsia="华文楷体" w:cs="华文楷体"/>
                        <w:sz w:val="15"/>
                        <w:szCs w:val="15"/>
                      </w:rPr>
                      <w:fldChar w:fldCharType="end"/>
                    </w:r>
                    <w:r>
                      <w:rPr>
                        <w:rFonts w:hint="eastAsia" w:ascii="华文楷体" w:hAnsi="华文楷体" w:eastAsia="华文楷体" w:cs="华文楷体"/>
                        <w:sz w:val="15"/>
                        <w:szCs w:val="15"/>
                      </w:rPr>
                      <w:t xml:space="preserve"> 页 共 </w:t>
                    </w:r>
                    <w:r>
                      <w:rPr>
                        <w:rFonts w:hint="eastAsia" w:ascii="华文楷体" w:hAnsi="华文楷体" w:eastAsia="华文楷体" w:cs="华文楷体"/>
                        <w:sz w:val="15"/>
                        <w:szCs w:val="15"/>
                      </w:rPr>
                      <w:fldChar w:fldCharType="begin"/>
                    </w:r>
                    <w:r>
                      <w:rPr>
                        <w:rFonts w:hint="eastAsia" w:ascii="华文楷体" w:hAnsi="华文楷体" w:eastAsia="华文楷体" w:cs="华文楷体"/>
                        <w:sz w:val="15"/>
                        <w:szCs w:val="15"/>
                      </w:rPr>
                      <w:instrText xml:space="preserve"> NUMPAGES  \* MERGEFORMAT </w:instrText>
                    </w:r>
                    <w:r>
                      <w:rPr>
                        <w:rFonts w:hint="eastAsia" w:ascii="华文楷体" w:hAnsi="华文楷体" w:eastAsia="华文楷体" w:cs="华文楷体"/>
                        <w:sz w:val="15"/>
                        <w:szCs w:val="15"/>
                      </w:rPr>
                      <w:fldChar w:fldCharType="separate"/>
                    </w:r>
                    <w:r>
                      <w:rPr>
                        <w:rFonts w:hint="eastAsia" w:ascii="华文楷体" w:hAnsi="华文楷体" w:eastAsia="华文楷体" w:cs="华文楷体"/>
                        <w:sz w:val="15"/>
                        <w:szCs w:val="15"/>
                      </w:rPr>
                      <w:t>9</w:t>
                    </w:r>
                    <w:r>
                      <w:rPr>
                        <w:rFonts w:hint="eastAsia" w:ascii="华文楷体" w:hAnsi="华文楷体" w:eastAsia="华文楷体" w:cs="华文楷体"/>
                        <w:sz w:val="15"/>
                        <w:szCs w:val="15"/>
                      </w:rPr>
                      <w:fldChar w:fldCharType="end"/>
                    </w:r>
                    <w:r>
                      <w:rPr>
                        <w:rFonts w:hint="eastAsia" w:ascii="华文楷体" w:hAnsi="华文楷体" w:eastAsia="华文楷体" w:cs="华文楷体"/>
                        <w:sz w:val="15"/>
                        <w:szCs w:val="15"/>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left"/>
      <w:rPr>
        <w:rFonts w:hint="default" w:eastAsiaTheme="minorEastAsia"/>
        <w:sz w:val="14"/>
        <w:szCs w:val="14"/>
        <w:lang w:val="en-US" w:eastAsia="zh-CN"/>
      </w:rPr>
    </w:pPr>
    <w:r>
      <w:rPr>
        <w:sz w:val="18"/>
      </w:rPr>
      <w:pict>
        <v:shape id="_x0000_s4103" o:spid="_x0000_s4103" o:spt="136" type="#_x0000_t136" style="position:absolute;left:0pt;margin-left:-2.6pt;margin-top:63pt;height:60.35pt;width:184.9pt;mso-position-horizontal-relative:margin;mso-position-vertical-relative:margin;rotation:-2949120f;z-index:-251646976;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w:rPr>
        <w:sz w:val="18"/>
      </w:rPr>
      <w:pict>
        <v:shape id="_x0000_s4104" o:spid="_x0000_s4104" o:spt="136" type="#_x0000_t136" style="position:absolute;left:0pt;margin-left:298.45pt;margin-top:295.45pt;height:60.35pt;width:184.9pt;mso-position-horizontal-relative:margin;mso-position-vertical-relative:margin;rotation:-2949120f;z-index:-251645952;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w:rPr>
        <w:sz w:val="18"/>
      </w:rPr>
      <w:pict>
        <v:shape id="_x0000_s4105" o:spid="_x0000_s4105" o:spt="136" type="#_x0000_t136" style="position:absolute;left:0pt;margin-left:-7.5pt;margin-top:281.95pt;height:60.35pt;width:184.9pt;mso-position-horizontal-relative:margin;mso-position-vertical-relative:margin;rotation:-2949120f;z-index:-251648000;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w:rPr>
        <w:sz w:val="18"/>
      </w:rPr>
      <w:pict>
        <v:shape id="PowerPlusWaterMarkObject63693" o:spid="_x0000_s4106" o:spt="136" type="#_x0000_t136" style="position:absolute;left:0pt;margin-left:279.95pt;margin-top:75.85pt;height:60.35pt;width:184.9pt;mso-position-horizontal-relative:margin;mso-position-vertical-relative:margin;rotation:-2949120f;z-index:-251655168;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w:rPr>
        <w:sz w:val="14"/>
        <w:szCs w:val="14"/>
      </w:rPr>
      <w:drawing>
        <wp:inline distT="0" distB="0" distL="114300" distR="114300">
          <wp:extent cx="1146175" cy="329565"/>
          <wp:effectExtent l="0" t="0" r="9525" b="635"/>
          <wp:docPr id="3" name="图片 2" descr="银盛支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银盛支付"/>
                  <pic:cNvPicPr>
                    <a:picLocks noChangeAspect="1"/>
                  </pic:cNvPicPr>
                </pic:nvPicPr>
                <pic:blipFill>
                  <a:blip r:embed="rId1"/>
                  <a:stretch>
                    <a:fillRect/>
                  </a:stretch>
                </pic:blipFill>
                <pic:spPr>
                  <a:xfrm>
                    <a:off x="0" y="0"/>
                    <a:ext cx="1146175" cy="329565"/>
                  </a:xfrm>
                  <a:prstGeom prst="rect">
                    <a:avLst/>
                  </a:prstGeom>
                  <a:noFill/>
                  <a:ln>
                    <a:noFill/>
                  </a:ln>
                </pic:spPr>
              </pic:pic>
            </a:graphicData>
          </a:graphic>
        </wp:inline>
      </w:drawing>
    </w:r>
    <w:r>
      <w:rPr>
        <w:rFonts w:hint="eastAsia"/>
        <w:sz w:val="14"/>
        <w:szCs w:val="14"/>
      </w:rPr>
      <w:t xml:space="preserve">                                                                          </w:t>
    </w:r>
    <w:r>
      <w:rPr>
        <w:rFonts w:hint="eastAsia"/>
        <w:sz w:val="14"/>
        <w:szCs w:val="14"/>
        <w:lang w:val="en-US" w:eastAsia="zh-CN"/>
      </w:rPr>
      <w:t xml:space="preserve">                    </w:t>
    </w:r>
    <w:r>
      <w:rPr>
        <w:rFonts w:hint="eastAsia"/>
        <w:b/>
        <w:bCs/>
        <w:sz w:val="14"/>
        <w:szCs w:val="14"/>
        <w:lang w:val="en-US" w:eastAsia="zh-CN"/>
      </w:rPr>
      <w:t>互联网支付服务协议</w:t>
    </w:r>
  </w:p>
  <w:p>
    <w:pPr>
      <w:pStyle w:val="6"/>
      <w:ind w:firstLine="7379" w:firstLineChars="3500"/>
      <w:jc w:val="left"/>
      <w:rPr>
        <w:rFonts w:hint="default"/>
        <w:lang w:val="en-US" w:eastAsia="zh-CN"/>
      </w:rPr>
    </w:pPr>
    <w:r>
      <w:rPr>
        <w:rFonts w:hint="eastAsia" w:ascii="华文楷体" w:hAnsi="华文楷体" w:eastAsia="华文楷体" w:cs="华文楷体"/>
        <w:b/>
        <w:bCs/>
        <w:sz w:val="21"/>
        <w:szCs w:val="21"/>
      </w:rPr>
      <w:t>协议编号：</w:t>
    </w:r>
    <w:r>
      <w:rPr>
        <w:rFonts w:hint="eastAsia"/>
      </w:rPr>
      <w:t>YS-</w:t>
    </w:r>
    <w:r>
      <w:rPr>
        <w:rFonts w:hint="eastAsia"/>
        <w:lang w:val="en-US" w:eastAsia="zh-CN"/>
      </w:rPr>
      <w:t>ZF-</w:t>
    </w:r>
    <w:r>
      <w:rPr>
        <w:rFonts w:hint="eastAsia"/>
      </w:rPr>
      <w:t>WI-MM21003</w:t>
    </w:r>
    <w:r>
      <w:rPr>
        <w:rFonts w:hint="eastAsia"/>
        <w:lang w:val="en-US" w:eastAsia="zh-CN"/>
      </w:rPr>
      <w:t>-A2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left"/>
      <w:rPr>
        <w:rFonts w:hint="default" w:eastAsiaTheme="minorEastAsia"/>
        <w:sz w:val="14"/>
        <w:szCs w:val="14"/>
        <w:lang w:val="en-US" w:eastAsia="zh-CN"/>
      </w:rPr>
    </w:pPr>
    <w:r>
      <w:rPr>
        <w:sz w:val="18"/>
      </w:rPr>
      <w:pict>
        <v:shape id="_x0000_s4097" o:spid="_x0000_s4097" o:spt="136" type="#_x0000_t136" style="position:absolute;left:0pt;margin-left:302.5pt;margin-top:347.95pt;height:60.35pt;width:184.9pt;mso-position-horizontal-relative:margin;mso-position-vertical-relative:margin;rotation:-2949120f;z-index:-251651072;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w:rPr>
        <w:sz w:val="18"/>
      </w:rPr>
      <w:pict>
        <v:shape id="_x0000_s4098" o:spid="_x0000_s4098" o:spt="136" type="#_x0000_t136" style="position:absolute;left:0pt;margin-left:293.85pt;margin-top:105.85pt;height:60.35pt;width:184.9pt;mso-position-horizontal-relative:margin;mso-position-vertical-relative:margin;rotation:-2949120f;z-index:-251654144;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w:rPr>
        <w:sz w:val="18"/>
      </w:rPr>
      <w:pict>
        <v:shape id="_x0000_s4099" o:spid="_x0000_s4099" o:spt="136" type="#_x0000_t136" style="position:absolute;left:0pt;margin-left:21.2pt;margin-top:330.8pt;height:60.35pt;width:184.9pt;mso-position-horizontal-relative:margin;mso-position-vertical-relative:margin;rotation:-2949120f;z-index:-251652096;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w:rPr>
        <w:sz w:val="18"/>
      </w:rPr>
      <w:pict>
        <v:shape id="_x0000_s4100" o:spid="_x0000_s4100" o:spt="136" type="#_x0000_t136" style="position:absolute;left:0pt;margin-left:-23.6pt;margin-top:106.05pt;height:60.35pt;width:184.9pt;mso-position-horizontal-relative:margin;mso-position-vertical-relative:margin;rotation:-2949120f;z-index:-251653120;mso-width-relative:page;mso-height-relative:page;" fillcolor="#BFBFBF" filled="t" stroked="f" coordsize="21600,21600" adj="10800">
          <v:path/>
          <v:fill on="t" opacity="32768f" focussize="0,0"/>
          <v:stroke on="f"/>
          <v:imagedata o:title=""/>
          <o:lock v:ext="edit" aspectratio="t"/>
          <v:textpath on="t" fitshape="t" fitpath="t" trim="t" xscale="f" string="银盛支付" style="font-family:微软雅黑;font-size:60pt;v-same-letter-heights:f;v-text-align:center;"/>
        </v:shape>
      </w:pict>
    </w:r>
    <w:r>
      <w:rPr>
        <w:sz w:val="14"/>
        <w:szCs w:val="14"/>
      </w:rPr>
      <w:drawing>
        <wp:inline distT="0" distB="0" distL="114300" distR="114300">
          <wp:extent cx="996315" cy="286385"/>
          <wp:effectExtent l="0" t="0" r="6985" b="5715"/>
          <wp:docPr id="2" name="图片 1" descr="银盛支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银盛支付"/>
                  <pic:cNvPicPr>
                    <a:picLocks noChangeAspect="1"/>
                  </pic:cNvPicPr>
                </pic:nvPicPr>
                <pic:blipFill>
                  <a:blip r:embed="rId1"/>
                  <a:stretch>
                    <a:fillRect/>
                  </a:stretch>
                </pic:blipFill>
                <pic:spPr>
                  <a:xfrm>
                    <a:off x="0" y="0"/>
                    <a:ext cx="996315" cy="286385"/>
                  </a:xfrm>
                  <a:prstGeom prst="rect">
                    <a:avLst/>
                  </a:prstGeom>
                  <a:noFill/>
                  <a:ln>
                    <a:noFill/>
                  </a:ln>
                </pic:spPr>
              </pic:pic>
            </a:graphicData>
          </a:graphic>
        </wp:inline>
      </w:drawing>
    </w:r>
    <w:r>
      <w:rPr>
        <w:rFonts w:hint="eastAsia"/>
        <w:sz w:val="14"/>
        <w:szCs w:val="14"/>
      </w:rPr>
      <w:t xml:space="preserve">                                                                              </w:t>
    </w:r>
    <w:r>
      <w:rPr>
        <w:rFonts w:hint="eastAsia"/>
        <w:sz w:val="14"/>
        <w:szCs w:val="14"/>
        <w:lang w:val="en-US" w:eastAsia="zh-CN"/>
      </w:rPr>
      <w:t xml:space="preserve">                  </w:t>
    </w:r>
    <w:r>
      <w:rPr>
        <w:rFonts w:hint="eastAsia"/>
        <w:b/>
        <w:bCs/>
        <w:sz w:val="14"/>
        <w:szCs w:val="14"/>
        <w:lang w:val="en-US" w:eastAsia="zh-CN"/>
      </w:rPr>
      <w:t>互联网支付服务协议</w:t>
    </w:r>
  </w:p>
  <w:p>
    <w:pPr>
      <w:pStyle w:val="6"/>
      <w:ind w:firstLine="7168" w:firstLineChars="3400"/>
      <w:jc w:val="left"/>
    </w:pPr>
    <w:r>
      <w:rPr>
        <w:rFonts w:hint="eastAsia" w:ascii="华文楷体" w:hAnsi="华文楷体" w:eastAsia="华文楷体" w:cs="华文楷体"/>
        <w:b/>
        <w:bCs/>
        <w:sz w:val="21"/>
        <w:szCs w:val="21"/>
      </w:rPr>
      <w:t>协议编号：</w:t>
    </w:r>
    <w:r>
      <w:rPr>
        <w:rFonts w:hint="eastAsia"/>
        <w:sz w:val="14"/>
        <w:szCs w:val="14"/>
      </w:rPr>
      <w:t xml:space="preserve"> </w:t>
    </w:r>
    <w:r>
      <w:rPr>
        <w:rFonts w:hint="eastAsia"/>
      </w:rPr>
      <w:t>YS-</w:t>
    </w:r>
    <w:r>
      <w:rPr>
        <w:rFonts w:hint="eastAsia"/>
        <w:lang w:val="en-US" w:eastAsia="zh-CN"/>
      </w:rPr>
      <w:t>ZF-</w:t>
    </w:r>
    <w:r>
      <w:rPr>
        <w:rFonts w:hint="eastAsia"/>
      </w:rPr>
      <w:t>WI-MM21003</w:t>
    </w:r>
    <w:r>
      <w:rPr>
        <w:rFonts w:hint="eastAsia"/>
        <w:lang w:val="en-US" w:eastAsia="zh-CN"/>
      </w:rPr>
      <w:t>-A2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1469E"/>
    <w:multiLevelType w:val="singleLevel"/>
    <w:tmpl w:val="66E1469E"/>
    <w:lvl w:ilvl="0" w:tentative="0">
      <w:start w:val="1"/>
      <w:numFmt w:val="chineseCounting"/>
      <w:suff w:val="nothing"/>
      <w:lvlText w:val="%1、"/>
      <w:lvlJc w:val="left"/>
      <w:rPr>
        <w:rFonts w:hint="eastAsia"/>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dit="readOnly" w:enforcement="1" w:cryptProviderType="rsaFull" w:cryptAlgorithmClass="hash" w:cryptAlgorithmType="typeAny" w:cryptAlgorithmSid="4" w:cryptSpinCount="0" w:hash="5bHBnKJ1g+SW2s2QlgT3zpGcHCQ=" w:salt="RkS+hG+PGFxAvVK6jEA3XA=="/>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YTIxNjY1Y2VjMTkzMmFjYzFjNzhjNTBiYTM4ZDMifQ=="/>
  </w:docVars>
  <w:rsids>
    <w:rsidRoot w:val="002E2206"/>
    <w:rsid w:val="000F1FE0"/>
    <w:rsid w:val="002A4032"/>
    <w:rsid w:val="002D0F1E"/>
    <w:rsid w:val="002E2206"/>
    <w:rsid w:val="003504EF"/>
    <w:rsid w:val="0036656C"/>
    <w:rsid w:val="003E302A"/>
    <w:rsid w:val="0045289C"/>
    <w:rsid w:val="00545C16"/>
    <w:rsid w:val="005A0E1F"/>
    <w:rsid w:val="00621C19"/>
    <w:rsid w:val="00660F61"/>
    <w:rsid w:val="00690E59"/>
    <w:rsid w:val="006E21C9"/>
    <w:rsid w:val="00742929"/>
    <w:rsid w:val="00A94EC0"/>
    <w:rsid w:val="00AC4D3B"/>
    <w:rsid w:val="00AD29B2"/>
    <w:rsid w:val="00B44085"/>
    <w:rsid w:val="00B8376A"/>
    <w:rsid w:val="00BA3C95"/>
    <w:rsid w:val="00C525FF"/>
    <w:rsid w:val="00C55B32"/>
    <w:rsid w:val="00E0755A"/>
    <w:rsid w:val="00E2167F"/>
    <w:rsid w:val="00E81F00"/>
    <w:rsid w:val="00F019E1"/>
    <w:rsid w:val="00F6061B"/>
    <w:rsid w:val="00F840BF"/>
    <w:rsid w:val="00FE6E15"/>
    <w:rsid w:val="011509D3"/>
    <w:rsid w:val="0115778A"/>
    <w:rsid w:val="011C7021"/>
    <w:rsid w:val="011D3F2D"/>
    <w:rsid w:val="011D747D"/>
    <w:rsid w:val="01204DE4"/>
    <w:rsid w:val="012E44E0"/>
    <w:rsid w:val="012F1519"/>
    <w:rsid w:val="013511D3"/>
    <w:rsid w:val="01354E95"/>
    <w:rsid w:val="01472206"/>
    <w:rsid w:val="014F6C7E"/>
    <w:rsid w:val="01517BBA"/>
    <w:rsid w:val="01572813"/>
    <w:rsid w:val="015D0732"/>
    <w:rsid w:val="015F744C"/>
    <w:rsid w:val="0160187D"/>
    <w:rsid w:val="01793174"/>
    <w:rsid w:val="01831472"/>
    <w:rsid w:val="01855622"/>
    <w:rsid w:val="019B5E61"/>
    <w:rsid w:val="01A06E38"/>
    <w:rsid w:val="01A3467D"/>
    <w:rsid w:val="01A437CB"/>
    <w:rsid w:val="01A71907"/>
    <w:rsid w:val="01B400F7"/>
    <w:rsid w:val="01B906E4"/>
    <w:rsid w:val="01C47664"/>
    <w:rsid w:val="01EF172E"/>
    <w:rsid w:val="02004A83"/>
    <w:rsid w:val="021A4BB8"/>
    <w:rsid w:val="021C6054"/>
    <w:rsid w:val="021E01B9"/>
    <w:rsid w:val="021F5F84"/>
    <w:rsid w:val="022B05EE"/>
    <w:rsid w:val="02333FBD"/>
    <w:rsid w:val="02334242"/>
    <w:rsid w:val="02341F89"/>
    <w:rsid w:val="023F1988"/>
    <w:rsid w:val="02410190"/>
    <w:rsid w:val="02587E80"/>
    <w:rsid w:val="025D4B62"/>
    <w:rsid w:val="026C0822"/>
    <w:rsid w:val="02793354"/>
    <w:rsid w:val="027B4522"/>
    <w:rsid w:val="0281097A"/>
    <w:rsid w:val="02821D03"/>
    <w:rsid w:val="02884881"/>
    <w:rsid w:val="029E37A6"/>
    <w:rsid w:val="02AB3C3E"/>
    <w:rsid w:val="02B03E48"/>
    <w:rsid w:val="02B5593E"/>
    <w:rsid w:val="02B8210A"/>
    <w:rsid w:val="02BD6979"/>
    <w:rsid w:val="02C132DD"/>
    <w:rsid w:val="02C43DBA"/>
    <w:rsid w:val="02DE229B"/>
    <w:rsid w:val="02E77E23"/>
    <w:rsid w:val="02E84AC2"/>
    <w:rsid w:val="02EA3FD6"/>
    <w:rsid w:val="03063BED"/>
    <w:rsid w:val="03070926"/>
    <w:rsid w:val="03121CC0"/>
    <w:rsid w:val="03142255"/>
    <w:rsid w:val="03160D93"/>
    <w:rsid w:val="031C501D"/>
    <w:rsid w:val="031C6099"/>
    <w:rsid w:val="03261FA3"/>
    <w:rsid w:val="033D6EDA"/>
    <w:rsid w:val="03466339"/>
    <w:rsid w:val="034A18BD"/>
    <w:rsid w:val="036138CD"/>
    <w:rsid w:val="03740B93"/>
    <w:rsid w:val="03836988"/>
    <w:rsid w:val="03A31073"/>
    <w:rsid w:val="03AC49C2"/>
    <w:rsid w:val="03B158FC"/>
    <w:rsid w:val="03B2217A"/>
    <w:rsid w:val="03BC2C44"/>
    <w:rsid w:val="03C35B61"/>
    <w:rsid w:val="03CC01BE"/>
    <w:rsid w:val="03D91EE1"/>
    <w:rsid w:val="03DC0562"/>
    <w:rsid w:val="03E26DEF"/>
    <w:rsid w:val="03EA6A16"/>
    <w:rsid w:val="03EB43FB"/>
    <w:rsid w:val="03F664E0"/>
    <w:rsid w:val="03F714A0"/>
    <w:rsid w:val="03FF534B"/>
    <w:rsid w:val="04095AB1"/>
    <w:rsid w:val="040A49BE"/>
    <w:rsid w:val="04207961"/>
    <w:rsid w:val="0423067D"/>
    <w:rsid w:val="04337724"/>
    <w:rsid w:val="0437580A"/>
    <w:rsid w:val="044959A1"/>
    <w:rsid w:val="04753601"/>
    <w:rsid w:val="047805A1"/>
    <w:rsid w:val="048B7CA0"/>
    <w:rsid w:val="049F607B"/>
    <w:rsid w:val="04A53840"/>
    <w:rsid w:val="04B2460A"/>
    <w:rsid w:val="04B37AA4"/>
    <w:rsid w:val="04B70F9E"/>
    <w:rsid w:val="04C21D75"/>
    <w:rsid w:val="04CA0BD6"/>
    <w:rsid w:val="04CD199C"/>
    <w:rsid w:val="04CD2F05"/>
    <w:rsid w:val="04CE028F"/>
    <w:rsid w:val="04E52479"/>
    <w:rsid w:val="04FE3FF1"/>
    <w:rsid w:val="050555C8"/>
    <w:rsid w:val="05055F77"/>
    <w:rsid w:val="0511155E"/>
    <w:rsid w:val="05162B35"/>
    <w:rsid w:val="051962C2"/>
    <w:rsid w:val="0521773B"/>
    <w:rsid w:val="0522154F"/>
    <w:rsid w:val="052420B1"/>
    <w:rsid w:val="052D12CD"/>
    <w:rsid w:val="052E329D"/>
    <w:rsid w:val="0536641C"/>
    <w:rsid w:val="05397C56"/>
    <w:rsid w:val="053E24D6"/>
    <w:rsid w:val="05442D8B"/>
    <w:rsid w:val="05484544"/>
    <w:rsid w:val="055A26E4"/>
    <w:rsid w:val="0566717E"/>
    <w:rsid w:val="05682A89"/>
    <w:rsid w:val="056D14F6"/>
    <w:rsid w:val="056F4560"/>
    <w:rsid w:val="057329C1"/>
    <w:rsid w:val="05735167"/>
    <w:rsid w:val="057C7EB6"/>
    <w:rsid w:val="05874D41"/>
    <w:rsid w:val="05893DC4"/>
    <w:rsid w:val="059F47C4"/>
    <w:rsid w:val="05A278BB"/>
    <w:rsid w:val="05A32ED9"/>
    <w:rsid w:val="05A8692E"/>
    <w:rsid w:val="05AD6EDD"/>
    <w:rsid w:val="05AE71E2"/>
    <w:rsid w:val="05B069B8"/>
    <w:rsid w:val="05B53628"/>
    <w:rsid w:val="05C44B5E"/>
    <w:rsid w:val="05EA1662"/>
    <w:rsid w:val="05F92009"/>
    <w:rsid w:val="06060109"/>
    <w:rsid w:val="06076751"/>
    <w:rsid w:val="06195A09"/>
    <w:rsid w:val="061F2596"/>
    <w:rsid w:val="06253490"/>
    <w:rsid w:val="062E6FFB"/>
    <w:rsid w:val="0633455B"/>
    <w:rsid w:val="06361FF8"/>
    <w:rsid w:val="063C075E"/>
    <w:rsid w:val="064E7462"/>
    <w:rsid w:val="064F20C3"/>
    <w:rsid w:val="06522064"/>
    <w:rsid w:val="06616278"/>
    <w:rsid w:val="06715702"/>
    <w:rsid w:val="0674584B"/>
    <w:rsid w:val="06852EDF"/>
    <w:rsid w:val="06894E9A"/>
    <w:rsid w:val="068D36FC"/>
    <w:rsid w:val="069620D2"/>
    <w:rsid w:val="069751FF"/>
    <w:rsid w:val="069B699A"/>
    <w:rsid w:val="06AB4508"/>
    <w:rsid w:val="06B2342D"/>
    <w:rsid w:val="06B93749"/>
    <w:rsid w:val="06BD476F"/>
    <w:rsid w:val="06C72EC8"/>
    <w:rsid w:val="06C91EDC"/>
    <w:rsid w:val="06D04EB5"/>
    <w:rsid w:val="06D91206"/>
    <w:rsid w:val="06DA0CBC"/>
    <w:rsid w:val="06DC6E8F"/>
    <w:rsid w:val="06E423C3"/>
    <w:rsid w:val="06EC18B0"/>
    <w:rsid w:val="06F11F97"/>
    <w:rsid w:val="06F744E8"/>
    <w:rsid w:val="06FC31F6"/>
    <w:rsid w:val="06FE7938"/>
    <w:rsid w:val="07051BA6"/>
    <w:rsid w:val="0713386D"/>
    <w:rsid w:val="07195427"/>
    <w:rsid w:val="072A5C14"/>
    <w:rsid w:val="072F375D"/>
    <w:rsid w:val="07321C19"/>
    <w:rsid w:val="07332B29"/>
    <w:rsid w:val="0738042A"/>
    <w:rsid w:val="075700AA"/>
    <w:rsid w:val="075E6FC7"/>
    <w:rsid w:val="076C69A5"/>
    <w:rsid w:val="07853274"/>
    <w:rsid w:val="07854E49"/>
    <w:rsid w:val="07860D1A"/>
    <w:rsid w:val="078734BE"/>
    <w:rsid w:val="079D5531"/>
    <w:rsid w:val="07AB3BC6"/>
    <w:rsid w:val="07BB327B"/>
    <w:rsid w:val="07BD3513"/>
    <w:rsid w:val="07D45BBB"/>
    <w:rsid w:val="07DC334B"/>
    <w:rsid w:val="07DE0B60"/>
    <w:rsid w:val="07E63481"/>
    <w:rsid w:val="07ED5629"/>
    <w:rsid w:val="0807742F"/>
    <w:rsid w:val="080E55A8"/>
    <w:rsid w:val="081C700A"/>
    <w:rsid w:val="082C12E1"/>
    <w:rsid w:val="082E3708"/>
    <w:rsid w:val="082F1C5E"/>
    <w:rsid w:val="082F28CD"/>
    <w:rsid w:val="08402916"/>
    <w:rsid w:val="08443970"/>
    <w:rsid w:val="08480B4B"/>
    <w:rsid w:val="085013BB"/>
    <w:rsid w:val="08535C25"/>
    <w:rsid w:val="087836B1"/>
    <w:rsid w:val="08787E5E"/>
    <w:rsid w:val="087F3CC4"/>
    <w:rsid w:val="08862495"/>
    <w:rsid w:val="088C6B80"/>
    <w:rsid w:val="088E389B"/>
    <w:rsid w:val="08917904"/>
    <w:rsid w:val="08991D75"/>
    <w:rsid w:val="089F5E0C"/>
    <w:rsid w:val="08A30AD5"/>
    <w:rsid w:val="08A67371"/>
    <w:rsid w:val="08B179C6"/>
    <w:rsid w:val="08B26279"/>
    <w:rsid w:val="08B4422A"/>
    <w:rsid w:val="08B86BC1"/>
    <w:rsid w:val="08BB2C4B"/>
    <w:rsid w:val="08BB4D9D"/>
    <w:rsid w:val="08D84DBB"/>
    <w:rsid w:val="08F332E8"/>
    <w:rsid w:val="08F359A3"/>
    <w:rsid w:val="090E168C"/>
    <w:rsid w:val="091563E0"/>
    <w:rsid w:val="091C4FB9"/>
    <w:rsid w:val="0920439F"/>
    <w:rsid w:val="092D660A"/>
    <w:rsid w:val="0932364B"/>
    <w:rsid w:val="094C0025"/>
    <w:rsid w:val="09613318"/>
    <w:rsid w:val="096462E2"/>
    <w:rsid w:val="097305B6"/>
    <w:rsid w:val="097A1124"/>
    <w:rsid w:val="097D061A"/>
    <w:rsid w:val="097F4555"/>
    <w:rsid w:val="09897468"/>
    <w:rsid w:val="09AE5C0D"/>
    <w:rsid w:val="09B4799C"/>
    <w:rsid w:val="09BD4A84"/>
    <w:rsid w:val="09BE74ED"/>
    <w:rsid w:val="09CD082F"/>
    <w:rsid w:val="09D33287"/>
    <w:rsid w:val="09D62AD8"/>
    <w:rsid w:val="09D76E41"/>
    <w:rsid w:val="09D7772F"/>
    <w:rsid w:val="09DC685D"/>
    <w:rsid w:val="09E04AC6"/>
    <w:rsid w:val="0A01566C"/>
    <w:rsid w:val="0A27754C"/>
    <w:rsid w:val="0A337523"/>
    <w:rsid w:val="0A3D2510"/>
    <w:rsid w:val="0A4069C2"/>
    <w:rsid w:val="0A42455B"/>
    <w:rsid w:val="0A441FCE"/>
    <w:rsid w:val="0A5E7A13"/>
    <w:rsid w:val="0A6A5789"/>
    <w:rsid w:val="0A7200C4"/>
    <w:rsid w:val="0A730E8E"/>
    <w:rsid w:val="0A830916"/>
    <w:rsid w:val="0A890E64"/>
    <w:rsid w:val="0A9A623B"/>
    <w:rsid w:val="0A9B6D14"/>
    <w:rsid w:val="0AB937F0"/>
    <w:rsid w:val="0AC42E5B"/>
    <w:rsid w:val="0AC455EB"/>
    <w:rsid w:val="0AD6491E"/>
    <w:rsid w:val="0AE23206"/>
    <w:rsid w:val="0AE35E1B"/>
    <w:rsid w:val="0AE52BD5"/>
    <w:rsid w:val="0AE755BB"/>
    <w:rsid w:val="0AEB4BDE"/>
    <w:rsid w:val="0AEC3377"/>
    <w:rsid w:val="0AEE5F11"/>
    <w:rsid w:val="0AF06387"/>
    <w:rsid w:val="0B0031A4"/>
    <w:rsid w:val="0B1D25C7"/>
    <w:rsid w:val="0B201BFB"/>
    <w:rsid w:val="0B273B99"/>
    <w:rsid w:val="0B2F7C9F"/>
    <w:rsid w:val="0B3478CB"/>
    <w:rsid w:val="0B4228AE"/>
    <w:rsid w:val="0B4E7D5E"/>
    <w:rsid w:val="0B5472FD"/>
    <w:rsid w:val="0B581338"/>
    <w:rsid w:val="0B587670"/>
    <w:rsid w:val="0B5F4CD3"/>
    <w:rsid w:val="0B612D9B"/>
    <w:rsid w:val="0B6640E8"/>
    <w:rsid w:val="0B6A0E79"/>
    <w:rsid w:val="0B703BF1"/>
    <w:rsid w:val="0B813CEE"/>
    <w:rsid w:val="0B955E7E"/>
    <w:rsid w:val="0B9B352A"/>
    <w:rsid w:val="0B9C301B"/>
    <w:rsid w:val="0B9F74FB"/>
    <w:rsid w:val="0BA57A32"/>
    <w:rsid w:val="0BA614F4"/>
    <w:rsid w:val="0BA61808"/>
    <w:rsid w:val="0BC76282"/>
    <w:rsid w:val="0BD6084A"/>
    <w:rsid w:val="0BD6545B"/>
    <w:rsid w:val="0BDE27A4"/>
    <w:rsid w:val="0BE557E1"/>
    <w:rsid w:val="0BEB4587"/>
    <w:rsid w:val="0BF257B3"/>
    <w:rsid w:val="0BF3024C"/>
    <w:rsid w:val="0BFA484F"/>
    <w:rsid w:val="0C071265"/>
    <w:rsid w:val="0C0B34A3"/>
    <w:rsid w:val="0C172EDC"/>
    <w:rsid w:val="0C251A0B"/>
    <w:rsid w:val="0C2F1839"/>
    <w:rsid w:val="0C3165F8"/>
    <w:rsid w:val="0C35674E"/>
    <w:rsid w:val="0C483A4F"/>
    <w:rsid w:val="0C501AF1"/>
    <w:rsid w:val="0C5309FD"/>
    <w:rsid w:val="0C5A27FE"/>
    <w:rsid w:val="0C5B5C3B"/>
    <w:rsid w:val="0C662D79"/>
    <w:rsid w:val="0C673F99"/>
    <w:rsid w:val="0C7F1F53"/>
    <w:rsid w:val="0C8B5C66"/>
    <w:rsid w:val="0C923003"/>
    <w:rsid w:val="0C965C0A"/>
    <w:rsid w:val="0C9B3CE3"/>
    <w:rsid w:val="0C9C10A1"/>
    <w:rsid w:val="0C9C293C"/>
    <w:rsid w:val="0CA43A61"/>
    <w:rsid w:val="0CAE0D8B"/>
    <w:rsid w:val="0CB03001"/>
    <w:rsid w:val="0CB341C1"/>
    <w:rsid w:val="0CD3589C"/>
    <w:rsid w:val="0CDD0729"/>
    <w:rsid w:val="0CDE6C5C"/>
    <w:rsid w:val="0CEB69FE"/>
    <w:rsid w:val="0CFB19FB"/>
    <w:rsid w:val="0D0C5B24"/>
    <w:rsid w:val="0D2E3608"/>
    <w:rsid w:val="0D397F0B"/>
    <w:rsid w:val="0D41601C"/>
    <w:rsid w:val="0D4353E5"/>
    <w:rsid w:val="0D4430EC"/>
    <w:rsid w:val="0D5246A7"/>
    <w:rsid w:val="0D5569BC"/>
    <w:rsid w:val="0D5C63F9"/>
    <w:rsid w:val="0D6A4770"/>
    <w:rsid w:val="0D79124E"/>
    <w:rsid w:val="0D8A300A"/>
    <w:rsid w:val="0D946639"/>
    <w:rsid w:val="0DA0359F"/>
    <w:rsid w:val="0DA739DC"/>
    <w:rsid w:val="0DB71AF7"/>
    <w:rsid w:val="0DBD286C"/>
    <w:rsid w:val="0DC33089"/>
    <w:rsid w:val="0DCA68B9"/>
    <w:rsid w:val="0DD509E7"/>
    <w:rsid w:val="0DD81E69"/>
    <w:rsid w:val="0DDB0C5A"/>
    <w:rsid w:val="0DDC0903"/>
    <w:rsid w:val="0DDF1F4A"/>
    <w:rsid w:val="0DF152CD"/>
    <w:rsid w:val="0E175706"/>
    <w:rsid w:val="0E1D4F85"/>
    <w:rsid w:val="0E3B616A"/>
    <w:rsid w:val="0E410916"/>
    <w:rsid w:val="0E42295C"/>
    <w:rsid w:val="0E467084"/>
    <w:rsid w:val="0E5A2771"/>
    <w:rsid w:val="0E5D3B71"/>
    <w:rsid w:val="0E62380B"/>
    <w:rsid w:val="0E627645"/>
    <w:rsid w:val="0E664CE7"/>
    <w:rsid w:val="0E7A3DA3"/>
    <w:rsid w:val="0E866E41"/>
    <w:rsid w:val="0E95465C"/>
    <w:rsid w:val="0EAF1BEA"/>
    <w:rsid w:val="0EC23ECB"/>
    <w:rsid w:val="0EC70784"/>
    <w:rsid w:val="0EDD6818"/>
    <w:rsid w:val="0EEC7F5A"/>
    <w:rsid w:val="0EF3498F"/>
    <w:rsid w:val="0EF81CE8"/>
    <w:rsid w:val="0F036AAD"/>
    <w:rsid w:val="0F076271"/>
    <w:rsid w:val="0F1529FC"/>
    <w:rsid w:val="0F181A6A"/>
    <w:rsid w:val="0F1A46A5"/>
    <w:rsid w:val="0F1B3A4E"/>
    <w:rsid w:val="0F1F6AD5"/>
    <w:rsid w:val="0F24500C"/>
    <w:rsid w:val="0F2849FD"/>
    <w:rsid w:val="0F2B549F"/>
    <w:rsid w:val="0F2F3801"/>
    <w:rsid w:val="0F2F6F91"/>
    <w:rsid w:val="0F360731"/>
    <w:rsid w:val="0F3A1B91"/>
    <w:rsid w:val="0F3E49A5"/>
    <w:rsid w:val="0F4B24AD"/>
    <w:rsid w:val="0F514BFC"/>
    <w:rsid w:val="0F5B6FC3"/>
    <w:rsid w:val="0F6F6377"/>
    <w:rsid w:val="0F8F1E2E"/>
    <w:rsid w:val="0F9B5AE9"/>
    <w:rsid w:val="0FB03DCF"/>
    <w:rsid w:val="0FBD5072"/>
    <w:rsid w:val="0FBF14C1"/>
    <w:rsid w:val="0FC9347B"/>
    <w:rsid w:val="0FCF4ED6"/>
    <w:rsid w:val="0FD4517E"/>
    <w:rsid w:val="0FE415DA"/>
    <w:rsid w:val="0FEB710C"/>
    <w:rsid w:val="0FF02679"/>
    <w:rsid w:val="0FFF397B"/>
    <w:rsid w:val="10011DC6"/>
    <w:rsid w:val="10134F52"/>
    <w:rsid w:val="10196503"/>
    <w:rsid w:val="10216ECB"/>
    <w:rsid w:val="10227B59"/>
    <w:rsid w:val="1031628A"/>
    <w:rsid w:val="10375F5F"/>
    <w:rsid w:val="10405711"/>
    <w:rsid w:val="10452817"/>
    <w:rsid w:val="10466772"/>
    <w:rsid w:val="104A7339"/>
    <w:rsid w:val="1052768A"/>
    <w:rsid w:val="105A32EE"/>
    <w:rsid w:val="105B1D1B"/>
    <w:rsid w:val="10606DA9"/>
    <w:rsid w:val="10724E28"/>
    <w:rsid w:val="107A48F7"/>
    <w:rsid w:val="109F729B"/>
    <w:rsid w:val="10B46863"/>
    <w:rsid w:val="10CA413E"/>
    <w:rsid w:val="10CF7E59"/>
    <w:rsid w:val="10E0047D"/>
    <w:rsid w:val="10F055A1"/>
    <w:rsid w:val="10F94A2A"/>
    <w:rsid w:val="10FA084F"/>
    <w:rsid w:val="110041A5"/>
    <w:rsid w:val="11022264"/>
    <w:rsid w:val="11077059"/>
    <w:rsid w:val="111672D4"/>
    <w:rsid w:val="111E0BEE"/>
    <w:rsid w:val="113D5074"/>
    <w:rsid w:val="114420CF"/>
    <w:rsid w:val="11490FB0"/>
    <w:rsid w:val="11535521"/>
    <w:rsid w:val="115370A6"/>
    <w:rsid w:val="115A66EF"/>
    <w:rsid w:val="11626387"/>
    <w:rsid w:val="1166730B"/>
    <w:rsid w:val="11682992"/>
    <w:rsid w:val="1176292B"/>
    <w:rsid w:val="117D4914"/>
    <w:rsid w:val="11801292"/>
    <w:rsid w:val="11917EA4"/>
    <w:rsid w:val="119302BA"/>
    <w:rsid w:val="11966237"/>
    <w:rsid w:val="11C473F6"/>
    <w:rsid w:val="11C5003E"/>
    <w:rsid w:val="11C7525C"/>
    <w:rsid w:val="11CF74C9"/>
    <w:rsid w:val="11D57159"/>
    <w:rsid w:val="11D9336C"/>
    <w:rsid w:val="11DD7766"/>
    <w:rsid w:val="11E112E5"/>
    <w:rsid w:val="11E43B59"/>
    <w:rsid w:val="11E457B7"/>
    <w:rsid w:val="11E939F4"/>
    <w:rsid w:val="11EE09E4"/>
    <w:rsid w:val="11EE3BC6"/>
    <w:rsid w:val="11F17023"/>
    <w:rsid w:val="1203417A"/>
    <w:rsid w:val="1206125D"/>
    <w:rsid w:val="120D309B"/>
    <w:rsid w:val="12114CCC"/>
    <w:rsid w:val="12181684"/>
    <w:rsid w:val="12192C0B"/>
    <w:rsid w:val="121C3CE8"/>
    <w:rsid w:val="12243DB4"/>
    <w:rsid w:val="12244D14"/>
    <w:rsid w:val="1228213B"/>
    <w:rsid w:val="122F2077"/>
    <w:rsid w:val="122F4965"/>
    <w:rsid w:val="122F516A"/>
    <w:rsid w:val="1236383F"/>
    <w:rsid w:val="123969C1"/>
    <w:rsid w:val="124D47E5"/>
    <w:rsid w:val="125B6864"/>
    <w:rsid w:val="12766283"/>
    <w:rsid w:val="128C347D"/>
    <w:rsid w:val="12A65126"/>
    <w:rsid w:val="12A752B9"/>
    <w:rsid w:val="12AC0679"/>
    <w:rsid w:val="12B06D23"/>
    <w:rsid w:val="12C22345"/>
    <w:rsid w:val="12CD35BB"/>
    <w:rsid w:val="12D30576"/>
    <w:rsid w:val="12D65BC2"/>
    <w:rsid w:val="12D936B2"/>
    <w:rsid w:val="12E227F8"/>
    <w:rsid w:val="12E463A0"/>
    <w:rsid w:val="12E835B4"/>
    <w:rsid w:val="12EB45F5"/>
    <w:rsid w:val="12F0052B"/>
    <w:rsid w:val="12F50F5F"/>
    <w:rsid w:val="12F8077C"/>
    <w:rsid w:val="12FB2994"/>
    <w:rsid w:val="12FC20D3"/>
    <w:rsid w:val="130C20BC"/>
    <w:rsid w:val="130E40F6"/>
    <w:rsid w:val="131D5542"/>
    <w:rsid w:val="132E3286"/>
    <w:rsid w:val="1347636D"/>
    <w:rsid w:val="13624591"/>
    <w:rsid w:val="136845F6"/>
    <w:rsid w:val="1376296B"/>
    <w:rsid w:val="1380050B"/>
    <w:rsid w:val="138F2FC9"/>
    <w:rsid w:val="13950AD0"/>
    <w:rsid w:val="139A7583"/>
    <w:rsid w:val="139B021F"/>
    <w:rsid w:val="13A07136"/>
    <w:rsid w:val="13AE4E23"/>
    <w:rsid w:val="13B142F3"/>
    <w:rsid w:val="13B973C3"/>
    <w:rsid w:val="13BF586C"/>
    <w:rsid w:val="13D85407"/>
    <w:rsid w:val="13D97B40"/>
    <w:rsid w:val="13DD0B9D"/>
    <w:rsid w:val="13E71024"/>
    <w:rsid w:val="13E90487"/>
    <w:rsid w:val="13EC5478"/>
    <w:rsid w:val="13F52438"/>
    <w:rsid w:val="13FA3D0C"/>
    <w:rsid w:val="13FC5DB7"/>
    <w:rsid w:val="140B6DD7"/>
    <w:rsid w:val="14107346"/>
    <w:rsid w:val="143A5CAB"/>
    <w:rsid w:val="1443208C"/>
    <w:rsid w:val="14481657"/>
    <w:rsid w:val="144C7707"/>
    <w:rsid w:val="145743F5"/>
    <w:rsid w:val="1463322D"/>
    <w:rsid w:val="14651D4E"/>
    <w:rsid w:val="14763BB3"/>
    <w:rsid w:val="14797318"/>
    <w:rsid w:val="147D5E5F"/>
    <w:rsid w:val="1480517B"/>
    <w:rsid w:val="14841339"/>
    <w:rsid w:val="1485386D"/>
    <w:rsid w:val="148B69CE"/>
    <w:rsid w:val="148D589F"/>
    <w:rsid w:val="14934A37"/>
    <w:rsid w:val="149543AC"/>
    <w:rsid w:val="14A05EC2"/>
    <w:rsid w:val="14A1782F"/>
    <w:rsid w:val="14A513A2"/>
    <w:rsid w:val="14A73FBC"/>
    <w:rsid w:val="14AE5AC2"/>
    <w:rsid w:val="14C0415C"/>
    <w:rsid w:val="14C10EF1"/>
    <w:rsid w:val="14D57846"/>
    <w:rsid w:val="14ED54D0"/>
    <w:rsid w:val="14F137C8"/>
    <w:rsid w:val="14F14A04"/>
    <w:rsid w:val="150240F0"/>
    <w:rsid w:val="15057A0C"/>
    <w:rsid w:val="15095DBA"/>
    <w:rsid w:val="150D40AE"/>
    <w:rsid w:val="15116399"/>
    <w:rsid w:val="151A41C5"/>
    <w:rsid w:val="15211234"/>
    <w:rsid w:val="15292DE3"/>
    <w:rsid w:val="152E314D"/>
    <w:rsid w:val="153207B4"/>
    <w:rsid w:val="153324F6"/>
    <w:rsid w:val="155035AC"/>
    <w:rsid w:val="15553872"/>
    <w:rsid w:val="15687708"/>
    <w:rsid w:val="1569629F"/>
    <w:rsid w:val="15722B18"/>
    <w:rsid w:val="15736199"/>
    <w:rsid w:val="158A3F83"/>
    <w:rsid w:val="15971A9F"/>
    <w:rsid w:val="15977B93"/>
    <w:rsid w:val="159B7720"/>
    <w:rsid w:val="159F7ABD"/>
    <w:rsid w:val="15A25DC6"/>
    <w:rsid w:val="15A47EBA"/>
    <w:rsid w:val="15AD6331"/>
    <w:rsid w:val="15AE62DE"/>
    <w:rsid w:val="15B85218"/>
    <w:rsid w:val="15B92215"/>
    <w:rsid w:val="15B97932"/>
    <w:rsid w:val="15C66ECC"/>
    <w:rsid w:val="15DC1F22"/>
    <w:rsid w:val="15E263DD"/>
    <w:rsid w:val="15EB5309"/>
    <w:rsid w:val="15EC6D07"/>
    <w:rsid w:val="15F75263"/>
    <w:rsid w:val="15FD2E2D"/>
    <w:rsid w:val="15FF27B2"/>
    <w:rsid w:val="16085910"/>
    <w:rsid w:val="161A6AD6"/>
    <w:rsid w:val="161D1483"/>
    <w:rsid w:val="16337D5C"/>
    <w:rsid w:val="16363E0D"/>
    <w:rsid w:val="163F3BBB"/>
    <w:rsid w:val="16402C21"/>
    <w:rsid w:val="1646565C"/>
    <w:rsid w:val="164E2665"/>
    <w:rsid w:val="16507BC4"/>
    <w:rsid w:val="16576F45"/>
    <w:rsid w:val="16610D94"/>
    <w:rsid w:val="16652569"/>
    <w:rsid w:val="166D616A"/>
    <w:rsid w:val="16732932"/>
    <w:rsid w:val="16760C86"/>
    <w:rsid w:val="167A4FD1"/>
    <w:rsid w:val="167E774F"/>
    <w:rsid w:val="168845F8"/>
    <w:rsid w:val="168A304C"/>
    <w:rsid w:val="169A1633"/>
    <w:rsid w:val="16B562FA"/>
    <w:rsid w:val="16BB7C47"/>
    <w:rsid w:val="16CA6EF9"/>
    <w:rsid w:val="16CC498C"/>
    <w:rsid w:val="16D316A7"/>
    <w:rsid w:val="170B6168"/>
    <w:rsid w:val="171B1678"/>
    <w:rsid w:val="171B2F7D"/>
    <w:rsid w:val="17200798"/>
    <w:rsid w:val="17244B51"/>
    <w:rsid w:val="17292CA7"/>
    <w:rsid w:val="17360A12"/>
    <w:rsid w:val="1737611B"/>
    <w:rsid w:val="17412039"/>
    <w:rsid w:val="174A7B7A"/>
    <w:rsid w:val="174D19C3"/>
    <w:rsid w:val="17505806"/>
    <w:rsid w:val="175B0B4C"/>
    <w:rsid w:val="175D185C"/>
    <w:rsid w:val="17654EA0"/>
    <w:rsid w:val="17686727"/>
    <w:rsid w:val="176949A5"/>
    <w:rsid w:val="177217C1"/>
    <w:rsid w:val="177A6360"/>
    <w:rsid w:val="177F2E99"/>
    <w:rsid w:val="17A3028C"/>
    <w:rsid w:val="17AC33A4"/>
    <w:rsid w:val="17D13386"/>
    <w:rsid w:val="17D87E57"/>
    <w:rsid w:val="17FC23DB"/>
    <w:rsid w:val="17FE18AD"/>
    <w:rsid w:val="18052F39"/>
    <w:rsid w:val="180B29D5"/>
    <w:rsid w:val="180B7D4D"/>
    <w:rsid w:val="180C43A5"/>
    <w:rsid w:val="181760D7"/>
    <w:rsid w:val="18253DB7"/>
    <w:rsid w:val="18275C87"/>
    <w:rsid w:val="18323B81"/>
    <w:rsid w:val="1833723F"/>
    <w:rsid w:val="183A0535"/>
    <w:rsid w:val="184527E4"/>
    <w:rsid w:val="18517F73"/>
    <w:rsid w:val="18545A81"/>
    <w:rsid w:val="185A67A5"/>
    <w:rsid w:val="1864011A"/>
    <w:rsid w:val="18645F03"/>
    <w:rsid w:val="18647B25"/>
    <w:rsid w:val="18723E45"/>
    <w:rsid w:val="187772A4"/>
    <w:rsid w:val="18784AAE"/>
    <w:rsid w:val="1879538B"/>
    <w:rsid w:val="18816D38"/>
    <w:rsid w:val="188637D3"/>
    <w:rsid w:val="18A2126A"/>
    <w:rsid w:val="18A95EE7"/>
    <w:rsid w:val="18AB6C13"/>
    <w:rsid w:val="18C1423F"/>
    <w:rsid w:val="18C41591"/>
    <w:rsid w:val="18C90820"/>
    <w:rsid w:val="18CC32B4"/>
    <w:rsid w:val="18D1793D"/>
    <w:rsid w:val="18D23823"/>
    <w:rsid w:val="18D670F3"/>
    <w:rsid w:val="18D70348"/>
    <w:rsid w:val="18DE3DD9"/>
    <w:rsid w:val="18E24289"/>
    <w:rsid w:val="18E423E1"/>
    <w:rsid w:val="18F67927"/>
    <w:rsid w:val="18FA0E7F"/>
    <w:rsid w:val="18FA7BDE"/>
    <w:rsid w:val="18FC6C1F"/>
    <w:rsid w:val="18FE51A3"/>
    <w:rsid w:val="190157EE"/>
    <w:rsid w:val="19026515"/>
    <w:rsid w:val="1907071E"/>
    <w:rsid w:val="19070B37"/>
    <w:rsid w:val="19125455"/>
    <w:rsid w:val="1913268A"/>
    <w:rsid w:val="191A4539"/>
    <w:rsid w:val="191F64A1"/>
    <w:rsid w:val="192649AE"/>
    <w:rsid w:val="19323C10"/>
    <w:rsid w:val="19474140"/>
    <w:rsid w:val="195C7EAB"/>
    <w:rsid w:val="196F020F"/>
    <w:rsid w:val="19812934"/>
    <w:rsid w:val="199C6979"/>
    <w:rsid w:val="19A577F9"/>
    <w:rsid w:val="19A85F9B"/>
    <w:rsid w:val="19AA727C"/>
    <w:rsid w:val="19B72D89"/>
    <w:rsid w:val="19BA66A1"/>
    <w:rsid w:val="19CE4C65"/>
    <w:rsid w:val="19D5730D"/>
    <w:rsid w:val="19D736AA"/>
    <w:rsid w:val="19DB242E"/>
    <w:rsid w:val="19E73FE3"/>
    <w:rsid w:val="19FA75FE"/>
    <w:rsid w:val="19FD63E6"/>
    <w:rsid w:val="19FE5D61"/>
    <w:rsid w:val="1A035B5F"/>
    <w:rsid w:val="1A061846"/>
    <w:rsid w:val="1A080D18"/>
    <w:rsid w:val="1A0E2E8B"/>
    <w:rsid w:val="1A1E06CD"/>
    <w:rsid w:val="1A2B2115"/>
    <w:rsid w:val="1A3C286F"/>
    <w:rsid w:val="1A3D11C1"/>
    <w:rsid w:val="1A434062"/>
    <w:rsid w:val="1A447984"/>
    <w:rsid w:val="1A4920BE"/>
    <w:rsid w:val="1A60372E"/>
    <w:rsid w:val="1A655BC0"/>
    <w:rsid w:val="1A737F0F"/>
    <w:rsid w:val="1A791A2D"/>
    <w:rsid w:val="1A7F2040"/>
    <w:rsid w:val="1A862991"/>
    <w:rsid w:val="1A863BEB"/>
    <w:rsid w:val="1A8866B2"/>
    <w:rsid w:val="1A987198"/>
    <w:rsid w:val="1AA07716"/>
    <w:rsid w:val="1AA41C4B"/>
    <w:rsid w:val="1AA64FA5"/>
    <w:rsid w:val="1AAD4C3C"/>
    <w:rsid w:val="1AAF4D23"/>
    <w:rsid w:val="1AC9600C"/>
    <w:rsid w:val="1AD424E8"/>
    <w:rsid w:val="1AD85307"/>
    <w:rsid w:val="1AE26346"/>
    <w:rsid w:val="1AEA1886"/>
    <w:rsid w:val="1AEA6D0E"/>
    <w:rsid w:val="1AED3393"/>
    <w:rsid w:val="1AF50C22"/>
    <w:rsid w:val="1AF548E0"/>
    <w:rsid w:val="1B120C61"/>
    <w:rsid w:val="1B2E054B"/>
    <w:rsid w:val="1B35225D"/>
    <w:rsid w:val="1B3B58E0"/>
    <w:rsid w:val="1B3F2B4D"/>
    <w:rsid w:val="1B446BFC"/>
    <w:rsid w:val="1B50383E"/>
    <w:rsid w:val="1B5137E2"/>
    <w:rsid w:val="1B56319C"/>
    <w:rsid w:val="1B5E2918"/>
    <w:rsid w:val="1B6203EA"/>
    <w:rsid w:val="1B650CBC"/>
    <w:rsid w:val="1B667AF6"/>
    <w:rsid w:val="1B681D72"/>
    <w:rsid w:val="1BA06631"/>
    <w:rsid w:val="1BA62980"/>
    <w:rsid w:val="1BAC32D1"/>
    <w:rsid w:val="1BAE197D"/>
    <w:rsid w:val="1BB255C1"/>
    <w:rsid w:val="1BBC7095"/>
    <w:rsid w:val="1BBE470D"/>
    <w:rsid w:val="1BC20845"/>
    <w:rsid w:val="1BC34609"/>
    <w:rsid w:val="1BC92553"/>
    <w:rsid w:val="1BD374DC"/>
    <w:rsid w:val="1BF47A25"/>
    <w:rsid w:val="1BFC48B2"/>
    <w:rsid w:val="1BFC59F2"/>
    <w:rsid w:val="1C024F69"/>
    <w:rsid w:val="1C047286"/>
    <w:rsid w:val="1C184572"/>
    <w:rsid w:val="1C2069ED"/>
    <w:rsid w:val="1C2F31AF"/>
    <w:rsid w:val="1C337E8B"/>
    <w:rsid w:val="1C353872"/>
    <w:rsid w:val="1C382490"/>
    <w:rsid w:val="1C382D10"/>
    <w:rsid w:val="1C4E5CBA"/>
    <w:rsid w:val="1C521022"/>
    <w:rsid w:val="1C575557"/>
    <w:rsid w:val="1C5B79D5"/>
    <w:rsid w:val="1C5D19AD"/>
    <w:rsid w:val="1C66417D"/>
    <w:rsid w:val="1C6B0E52"/>
    <w:rsid w:val="1C6E3D12"/>
    <w:rsid w:val="1C7105C1"/>
    <w:rsid w:val="1C711935"/>
    <w:rsid w:val="1C74047B"/>
    <w:rsid w:val="1C7D2035"/>
    <w:rsid w:val="1C824F92"/>
    <w:rsid w:val="1C8407E1"/>
    <w:rsid w:val="1C84298D"/>
    <w:rsid w:val="1C8A254B"/>
    <w:rsid w:val="1C8C0D07"/>
    <w:rsid w:val="1C8F69C6"/>
    <w:rsid w:val="1C901A1E"/>
    <w:rsid w:val="1C954499"/>
    <w:rsid w:val="1C995254"/>
    <w:rsid w:val="1C9B6C21"/>
    <w:rsid w:val="1CA40816"/>
    <w:rsid w:val="1CA736BC"/>
    <w:rsid w:val="1CA975AC"/>
    <w:rsid w:val="1CAA0ACF"/>
    <w:rsid w:val="1CAB3DBE"/>
    <w:rsid w:val="1CAE2DDF"/>
    <w:rsid w:val="1CB36F38"/>
    <w:rsid w:val="1CBE4A14"/>
    <w:rsid w:val="1CD74F45"/>
    <w:rsid w:val="1CDA33AB"/>
    <w:rsid w:val="1CDE1463"/>
    <w:rsid w:val="1CDF7016"/>
    <w:rsid w:val="1CE5530B"/>
    <w:rsid w:val="1D02587B"/>
    <w:rsid w:val="1D0F7962"/>
    <w:rsid w:val="1D117712"/>
    <w:rsid w:val="1D15479F"/>
    <w:rsid w:val="1D205178"/>
    <w:rsid w:val="1D224AD0"/>
    <w:rsid w:val="1D2437FB"/>
    <w:rsid w:val="1D2E1CB6"/>
    <w:rsid w:val="1D3C1512"/>
    <w:rsid w:val="1D3E3E33"/>
    <w:rsid w:val="1D4432DB"/>
    <w:rsid w:val="1D4F539A"/>
    <w:rsid w:val="1D567F66"/>
    <w:rsid w:val="1D5836C3"/>
    <w:rsid w:val="1D5B6B3A"/>
    <w:rsid w:val="1D5F3304"/>
    <w:rsid w:val="1D607D5D"/>
    <w:rsid w:val="1D65581B"/>
    <w:rsid w:val="1D7136B9"/>
    <w:rsid w:val="1D8634EB"/>
    <w:rsid w:val="1D887DBD"/>
    <w:rsid w:val="1D894994"/>
    <w:rsid w:val="1D914DA4"/>
    <w:rsid w:val="1D9833FA"/>
    <w:rsid w:val="1D9E412C"/>
    <w:rsid w:val="1DB1048F"/>
    <w:rsid w:val="1DBA020C"/>
    <w:rsid w:val="1DC21E59"/>
    <w:rsid w:val="1DC54F34"/>
    <w:rsid w:val="1DCB4259"/>
    <w:rsid w:val="1DDD245F"/>
    <w:rsid w:val="1DED4371"/>
    <w:rsid w:val="1E046CAA"/>
    <w:rsid w:val="1E071EF4"/>
    <w:rsid w:val="1E0E7748"/>
    <w:rsid w:val="1E144D0A"/>
    <w:rsid w:val="1E222259"/>
    <w:rsid w:val="1E370AEB"/>
    <w:rsid w:val="1E4C3033"/>
    <w:rsid w:val="1E4E6585"/>
    <w:rsid w:val="1E511DE2"/>
    <w:rsid w:val="1E513EDF"/>
    <w:rsid w:val="1E6E05C1"/>
    <w:rsid w:val="1E6F7A6A"/>
    <w:rsid w:val="1E71254C"/>
    <w:rsid w:val="1E713A78"/>
    <w:rsid w:val="1E7174AD"/>
    <w:rsid w:val="1E7816CD"/>
    <w:rsid w:val="1E812677"/>
    <w:rsid w:val="1E8369E3"/>
    <w:rsid w:val="1E847D82"/>
    <w:rsid w:val="1E932FB5"/>
    <w:rsid w:val="1E992477"/>
    <w:rsid w:val="1E9B4267"/>
    <w:rsid w:val="1EA0741C"/>
    <w:rsid w:val="1EA44E66"/>
    <w:rsid w:val="1EAD4C5F"/>
    <w:rsid w:val="1EC10BFC"/>
    <w:rsid w:val="1EC466FD"/>
    <w:rsid w:val="1ECE6B3E"/>
    <w:rsid w:val="1ED34F2C"/>
    <w:rsid w:val="1EDB391D"/>
    <w:rsid w:val="1EDC2891"/>
    <w:rsid w:val="1EE6075E"/>
    <w:rsid w:val="1EE90190"/>
    <w:rsid w:val="1EF400FC"/>
    <w:rsid w:val="1EF63EE9"/>
    <w:rsid w:val="1F023AA6"/>
    <w:rsid w:val="1F044C65"/>
    <w:rsid w:val="1F1B79DC"/>
    <w:rsid w:val="1F367DF6"/>
    <w:rsid w:val="1F3A5FD4"/>
    <w:rsid w:val="1F467CE8"/>
    <w:rsid w:val="1F4F443F"/>
    <w:rsid w:val="1F506603"/>
    <w:rsid w:val="1F58477D"/>
    <w:rsid w:val="1F91073B"/>
    <w:rsid w:val="1F92458D"/>
    <w:rsid w:val="1F950531"/>
    <w:rsid w:val="1FA61F93"/>
    <w:rsid w:val="1FBE5485"/>
    <w:rsid w:val="1FC55FBB"/>
    <w:rsid w:val="1FC66337"/>
    <w:rsid w:val="1FC803E5"/>
    <w:rsid w:val="1FC8291E"/>
    <w:rsid w:val="1FCB097C"/>
    <w:rsid w:val="1FCE0DCD"/>
    <w:rsid w:val="1FDB57E1"/>
    <w:rsid w:val="1FE474CD"/>
    <w:rsid w:val="1FEF5C20"/>
    <w:rsid w:val="20077198"/>
    <w:rsid w:val="200805DB"/>
    <w:rsid w:val="20116922"/>
    <w:rsid w:val="202A48DD"/>
    <w:rsid w:val="202C585F"/>
    <w:rsid w:val="202F59E3"/>
    <w:rsid w:val="203A2310"/>
    <w:rsid w:val="203C4874"/>
    <w:rsid w:val="204E0F1D"/>
    <w:rsid w:val="205739F6"/>
    <w:rsid w:val="205D6417"/>
    <w:rsid w:val="20623DC8"/>
    <w:rsid w:val="20644951"/>
    <w:rsid w:val="206750BC"/>
    <w:rsid w:val="20683713"/>
    <w:rsid w:val="206D5635"/>
    <w:rsid w:val="20731A89"/>
    <w:rsid w:val="20745D91"/>
    <w:rsid w:val="207F5680"/>
    <w:rsid w:val="2091009D"/>
    <w:rsid w:val="209A30DB"/>
    <w:rsid w:val="20A1623C"/>
    <w:rsid w:val="20AE28F4"/>
    <w:rsid w:val="20C040B4"/>
    <w:rsid w:val="20D0791E"/>
    <w:rsid w:val="20D255EB"/>
    <w:rsid w:val="20D54129"/>
    <w:rsid w:val="20D67F5A"/>
    <w:rsid w:val="20D82948"/>
    <w:rsid w:val="20DD17E3"/>
    <w:rsid w:val="20DF67F5"/>
    <w:rsid w:val="20E21619"/>
    <w:rsid w:val="20E751A1"/>
    <w:rsid w:val="20E84E5B"/>
    <w:rsid w:val="20EB16E6"/>
    <w:rsid w:val="20EB60C6"/>
    <w:rsid w:val="2102209D"/>
    <w:rsid w:val="2105262C"/>
    <w:rsid w:val="210E241A"/>
    <w:rsid w:val="2112144F"/>
    <w:rsid w:val="21157950"/>
    <w:rsid w:val="211723A1"/>
    <w:rsid w:val="21173944"/>
    <w:rsid w:val="212B04C1"/>
    <w:rsid w:val="212D0482"/>
    <w:rsid w:val="212D0BB0"/>
    <w:rsid w:val="21334511"/>
    <w:rsid w:val="213404DE"/>
    <w:rsid w:val="21371D8F"/>
    <w:rsid w:val="214467B1"/>
    <w:rsid w:val="21474734"/>
    <w:rsid w:val="214B31BF"/>
    <w:rsid w:val="21537FAD"/>
    <w:rsid w:val="21545446"/>
    <w:rsid w:val="2156686A"/>
    <w:rsid w:val="215C3098"/>
    <w:rsid w:val="21630331"/>
    <w:rsid w:val="21636F99"/>
    <w:rsid w:val="21682A1B"/>
    <w:rsid w:val="216C351C"/>
    <w:rsid w:val="217C0424"/>
    <w:rsid w:val="217E29A9"/>
    <w:rsid w:val="219C6BD0"/>
    <w:rsid w:val="21AD547F"/>
    <w:rsid w:val="21B7324F"/>
    <w:rsid w:val="21C25112"/>
    <w:rsid w:val="21CB2B83"/>
    <w:rsid w:val="21CB5004"/>
    <w:rsid w:val="21CD1D59"/>
    <w:rsid w:val="21D34DEB"/>
    <w:rsid w:val="21D568A8"/>
    <w:rsid w:val="21D57D5A"/>
    <w:rsid w:val="21D62069"/>
    <w:rsid w:val="21DE01B9"/>
    <w:rsid w:val="21E13F18"/>
    <w:rsid w:val="21E22709"/>
    <w:rsid w:val="21E60C1E"/>
    <w:rsid w:val="21ED735F"/>
    <w:rsid w:val="21FB3E2E"/>
    <w:rsid w:val="21FE1C0C"/>
    <w:rsid w:val="22005D77"/>
    <w:rsid w:val="220919CD"/>
    <w:rsid w:val="220A6954"/>
    <w:rsid w:val="221D14C1"/>
    <w:rsid w:val="221E4911"/>
    <w:rsid w:val="221F49E8"/>
    <w:rsid w:val="22311FC0"/>
    <w:rsid w:val="223348DD"/>
    <w:rsid w:val="223A52D1"/>
    <w:rsid w:val="223A71FC"/>
    <w:rsid w:val="223C1E25"/>
    <w:rsid w:val="22407C96"/>
    <w:rsid w:val="224A362B"/>
    <w:rsid w:val="22526604"/>
    <w:rsid w:val="22590CE9"/>
    <w:rsid w:val="22771DA1"/>
    <w:rsid w:val="227F636E"/>
    <w:rsid w:val="228948A8"/>
    <w:rsid w:val="228A0804"/>
    <w:rsid w:val="22956DA7"/>
    <w:rsid w:val="22AB3480"/>
    <w:rsid w:val="22AD1EA2"/>
    <w:rsid w:val="22AE32CC"/>
    <w:rsid w:val="22AF2F7C"/>
    <w:rsid w:val="22B277D8"/>
    <w:rsid w:val="22B55C65"/>
    <w:rsid w:val="22BF4C1B"/>
    <w:rsid w:val="22C06DE3"/>
    <w:rsid w:val="22C44F23"/>
    <w:rsid w:val="22C618FE"/>
    <w:rsid w:val="22D60DDD"/>
    <w:rsid w:val="22EC66EE"/>
    <w:rsid w:val="22F02CC8"/>
    <w:rsid w:val="230B19B0"/>
    <w:rsid w:val="231350AC"/>
    <w:rsid w:val="231740F7"/>
    <w:rsid w:val="23200982"/>
    <w:rsid w:val="23267FA4"/>
    <w:rsid w:val="23367E25"/>
    <w:rsid w:val="233929DB"/>
    <w:rsid w:val="234A73E2"/>
    <w:rsid w:val="235D7C11"/>
    <w:rsid w:val="23674570"/>
    <w:rsid w:val="237977A1"/>
    <w:rsid w:val="23821779"/>
    <w:rsid w:val="23856DE0"/>
    <w:rsid w:val="239140F2"/>
    <w:rsid w:val="239B2820"/>
    <w:rsid w:val="23A63FD5"/>
    <w:rsid w:val="23A97E8E"/>
    <w:rsid w:val="23AB111F"/>
    <w:rsid w:val="23B40368"/>
    <w:rsid w:val="23B94AE0"/>
    <w:rsid w:val="23C93FFE"/>
    <w:rsid w:val="23CF6054"/>
    <w:rsid w:val="23D9206E"/>
    <w:rsid w:val="23DC0C18"/>
    <w:rsid w:val="23E25C09"/>
    <w:rsid w:val="23E37694"/>
    <w:rsid w:val="23F56149"/>
    <w:rsid w:val="240138DE"/>
    <w:rsid w:val="2402419A"/>
    <w:rsid w:val="241A03F5"/>
    <w:rsid w:val="242D0512"/>
    <w:rsid w:val="242D1936"/>
    <w:rsid w:val="24364293"/>
    <w:rsid w:val="24365453"/>
    <w:rsid w:val="24464700"/>
    <w:rsid w:val="246C364B"/>
    <w:rsid w:val="248A5166"/>
    <w:rsid w:val="249436AD"/>
    <w:rsid w:val="24983C08"/>
    <w:rsid w:val="24A116CE"/>
    <w:rsid w:val="24A539C8"/>
    <w:rsid w:val="24A91FA1"/>
    <w:rsid w:val="24B430AB"/>
    <w:rsid w:val="24CF0924"/>
    <w:rsid w:val="24D157C6"/>
    <w:rsid w:val="24D53D86"/>
    <w:rsid w:val="24D62FE7"/>
    <w:rsid w:val="24D649BA"/>
    <w:rsid w:val="24DB69DE"/>
    <w:rsid w:val="24F5303C"/>
    <w:rsid w:val="24F57110"/>
    <w:rsid w:val="24FF5C6C"/>
    <w:rsid w:val="25026D5F"/>
    <w:rsid w:val="250402FE"/>
    <w:rsid w:val="25183871"/>
    <w:rsid w:val="2519241E"/>
    <w:rsid w:val="25211C47"/>
    <w:rsid w:val="25274EC0"/>
    <w:rsid w:val="252A18AB"/>
    <w:rsid w:val="253113B5"/>
    <w:rsid w:val="253A00FB"/>
    <w:rsid w:val="253C5D08"/>
    <w:rsid w:val="253F6C3B"/>
    <w:rsid w:val="254518CF"/>
    <w:rsid w:val="25771EE5"/>
    <w:rsid w:val="257C1C40"/>
    <w:rsid w:val="2583382F"/>
    <w:rsid w:val="25AE232C"/>
    <w:rsid w:val="25AE4E22"/>
    <w:rsid w:val="25B55FC3"/>
    <w:rsid w:val="25BA4A77"/>
    <w:rsid w:val="25BC030C"/>
    <w:rsid w:val="25BD5D17"/>
    <w:rsid w:val="25BE62EB"/>
    <w:rsid w:val="25C71A0A"/>
    <w:rsid w:val="25C83519"/>
    <w:rsid w:val="25C85184"/>
    <w:rsid w:val="25CD033B"/>
    <w:rsid w:val="25DB5BE8"/>
    <w:rsid w:val="25E87BB3"/>
    <w:rsid w:val="25ED1DA2"/>
    <w:rsid w:val="25F26D68"/>
    <w:rsid w:val="25F915B7"/>
    <w:rsid w:val="2603493B"/>
    <w:rsid w:val="26052BE6"/>
    <w:rsid w:val="26181349"/>
    <w:rsid w:val="261B1128"/>
    <w:rsid w:val="261F076A"/>
    <w:rsid w:val="262357DC"/>
    <w:rsid w:val="26237D20"/>
    <w:rsid w:val="262428E0"/>
    <w:rsid w:val="262A694F"/>
    <w:rsid w:val="2633011A"/>
    <w:rsid w:val="263C3312"/>
    <w:rsid w:val="26421D57"/>
    <w:rsid w:val="266C0188"/>
    <w:rsid w:val="26B12D86"/>
    <w:rsid w:val="26B72633"/>
    <w:rsid w:val="26BA7502"/>
    <w:rsid w:val="26BF408A"/>
    <w:rsid w:val="26C457E6"/>
    <w:rsid w:val="26CD030C"/>
    <w:rsid w:val="26DA2AA2"/>
    <w:rsid w:val="26E342DA"/>
    <w:rsid w:val="26E4371F"/>
    <w:rsid w:val="26EA1AA9"/>
    <w:rsid w:val="26F01709"/>
    <w:rsid w:val="26F0443B"/>
    <w:rsid w:val="26F953FD"/>
    <w:rsid w:val="270204B9"/>
    <w:rsid w:val="2708020A"/>
    <w:rsid w:val="270E596D"/>
    <w:rsid w:val="27120C22"/>
    <w:rsid w:val="27144F9B"/>
    <w:rsid w:val="271C2A97"/>
    <w:rsid w:val="273B7642"/>
    <w:rsid w:val="274142FB"/>
    <w:rsid w:val="27455AF5"/>
    <w:rsid w:val="274A1A6E"/>
    <w:rsid w:val="274D229B"/>
    <w:rsid w:val="274D7C00"/>
    <w:rsid w:val="27551A50"/>
    <w:rsid w:val="275E7136"/>
    <w:rsid w:val="27633A75"/>
    <w:rsid w:val="27680A5E"/>
    <w:rsid w:val="277618E1"/>
    <w:rsid w:val="277A0555"/>
    <w:rsid w:val="2781666C"/>
    <w:rsid w:val="27820183"/>
    <w:rsid w:val="27843CDE"/>
    <w:rsid w:val="27865FF1"/>
    <w:rsid w:val="2789796E"/>
    <w:rsid w:val="27AB7662"/>
    <w:rsid w:val="27AC7034"/>
    <w:rsid w:val="27AD0346"/>
    <w:rsid w:val="27B62BF8"/>
    <w:rsid w:val="27B8690B"/>
    <w:rsid w:val="27BA1677"/>
    <w:rsid w:val="27BB034B"/>
    <w:rsid w:val="27CA2DED"/>
    <w:rsid w:val="27CB187F"/>
    <w:rsid w:val="27CF3C20"/>
    <w:rsid w:val="27D763BB"/>
    <w:rsid w:val="27DE352E"/>
    <w:rsid w:val="27E7181E"/>
    <w:rsid w:val="27EC1695"/>
    <w:rsid w:val="27F56C20"/>
    <w:rsid w:val="27FD70ED"/>
    <w:rsid w:val="27FE08DB"/>
    <w:rsid w:val="27FE3333"/>
    <w:rsid w:val="28220518"/>
    <w:rsid w:val="2825502A"/>
    <w:rsid w:val="282B1E9F"/>
    <w:rsid w:val="286942F3"/>
    <w:rsid w:val="286D300F"/>
    <w:rsid w:val="28755DDC"/>
    <w:rsid w:val="287B1B61"/>
    <w:rsid w:val="28864905"/>
    <w:rsid w:val="288803AA"/>
    <w:rsid w:val="289F07D0"/>
    <w:rsid w:val="28A17E55"/>
    <w:rsid w:val="28C06546"/>
    <w:rsid w:val="28C6594D"/>
    <w:rsid w:val="28C72DA8"/>
    <w:rsid w:val="28C831E4"/>
    <w:rsid w:val="28DE4FF4"/>
    <w:rsid w:val="28E1348B"/>
    <w:rsid w:val="28E77BEA"/>
    <w:rsid w:val="28F75FD5"/>
    <w:rsid w:val="29015BCC"/>
    <w:rsid w:val="29016F52"/>
    <w:rsid w:val="29036BEC"/>
    <w:rsid w:val="29037ADB"/>
    <w:rsid w:val="291A50A1"/>
    <w:rsid w:val="291F734D"/>
    <w:rsid w:val="29254093"/>
    <w:rsid w:val="29287112"/>
    <w:rsid w:val="292B303E"/>
    <w:rsid w:val="292D1064"/>
    <w:rsid w:val="294511B8"/>
    <w:rsid w:val="29467824"/>
    <w:rsid w:val="294C6FC3"/>
    <w:rsid w:val="295172AB"/>
    <w:rsid w:val="295440E9"/>
    <w:rsid w:val="29585608"/>
    <w:rsid w:val="29605C2D"/>
    <w:rsid w:val="29673EDB"/>
    <w:rsid w:val="297E2E4C"/>
    <w:rsid w:val="297E419C"/>
    <w:rsid w:val="29815247"/>
    <w:rsid w:val="2985567E"/>
    <w:rsid w:val="29865101"/>
    <w:rsid w:val="2993448C"/>
    <w:rsid w:val="29973653"/>
    <w:rsid w:val="29A71C4A"/>
    <w:rsid w:val="29A81E89"/>
    <w:rsid w:val="29AB28C6"/>
    <w:rsid w:val="29CE56E2"/>
    <w:rsid w:val="29DD13F8"/>
    <w:rsid w:val="29DE7504"/>
    <w:rsid w:val="29E67347"/>
    <w:rsid w:val="29EE3A15"/>
    <w:rsid w:val="29F37292"/>
    <w:rsid w:val="29F84551"/>
    <w:rsid w:val="29FB5ACD"/>
    <w:rsid w:val="2A140A1D"/>
    <w:rsid w:val="2A1A28A6"/>
    <w:rsid w:val="2A22525C"/>
    <w:rsid w:val="2A26006D"/>
    <w:rsid w:val="2A2836EF"/>
    <w:rsid w:val="2A2B741C"/>
    <w:rsid w:val="2A2E030A"/>
    <w:rsid w:val="2A4F1BCF"/>
    <w:rsid w:val="2A58657C"/>
    <w:rsid w:val="2A5904B1"/>
    <w:rsid w:val="2A650115"/>
    <w:rsid w:val="2A6A07A3"/>
    <w:rsid w:val="2A6C619C"/>
    <w:rsid w:val="2A6E5590"/>
    <w:rsid w:val="2A8F3482"/>
    <w:rsid w:val="2AA63E61"/>
    <w:rsid w:val="2AAC3C07"/>
    <w:rsid w:val="2AB571D7"/>
    <w:rsid w:val="2ABC6B2B"/>
    <w:rsid w:val="2ABF72E4"/>
    <w:rsid w:val="2AD17561"/>
    <w:rsid w:val="2AD22CEE"/>
    <w:rsid w:val="2AE126A6"/>
    <w:rsid w:val="2AE701BA"/>
    <w:rsid w:val="2AE72732"/>
    <w:rsid w:val="2AE941C9"/>
    <w:rsid w:val="2AF02A1F"/>
    <w:rsid w:val="2AFC7B23"/>
    <w:rsid w:val="2AFE664E"/>
    <w:rsid w:val="2B07618D"/>
    <w:rsid w:val="2B0D673F"/>
    <w:rsid w:val="2B0F4200"/>
    <w:rsid w:val="2B1C1ABD"/>
    <w:rsid w:val="2B21052F"/>
    <w:rsid w:val="2B276321"/>
    <w:rsid w:val="2B2E1312"/>
    <w:rsid w:val="2B323874"/>
    <w:rsid w:val="2B3A2841"/>
    <w:rsid w:val="2B4110E9"/>
    <w:rsid w:val="2B435FAE"/>
    <w:rsid w:val="2B46073F"/>
    <w:rsid w:val="2B4A4F66"/>
    <w:rsid w:val="2B4A750A"/>
    <w:rsid w:val="2B4B406D"/>
    <w:rsid w:val="2B506013"/>
    <w:rsid w:val="2B540789"/>
    <w:rsid w:val="2B575264"/>
    <w:rsid w:val="2B60692E"/>
    <w:rsid w:val="2B684481"/>
    <w:rsid w:val="2B73144C"/>
    <w:rsid w:val="2B8107B3"/>
    <w:rsid w:val="2B83402F"/>
    <w:rsid w:val="2BA0286D"/>
    <w:rsid w:val="2BA17B63"/>
    <w:rsid w:val="2BA57CA0"/>
    <w:rsid w:val="2BBB37CE"/>
    <w:rsid w:val="2BBC0B3B"/>
    <w:rsid w:val="2BBE1D01"/>
    <w:rsid w:val="2BDB2666"/>
    <w:rsid w:val="2BE669E4"/>
    <w:rsid w:val="2BE77C94"/>
    <w:rsid w:val="2C1036B8"/>
    <w:rsid w:val="2C19660D"/>
    <w:rsid w:val="2C2B68AD"/>
    <w:rsid w:val="2C342F0C"/>
    <w:rsid w:val="2C3738BC"/>
    <w:rsid w:val="2C3D7690"/>
    <w:rsid w:val="2C43182B"/>
    <w:rsid w:val="2C466213"/>
    <w:rsid w:val="2C475A13"/>
    <w:rsid w:val="2C4F52FB"/>
    <w:rsid w:val="2C6003CE"/>
    <w:rsid w:val="2C654800"/>
    <w:rsid w:val="2C6C5BB5"/>
    <w:rsid w:val="2C7777AD"/>
    <w:rsid w:val="2C7E6828"/>
    <w:rsid w:val="2C88283F"/>
    <w:rsid w:val="2C894D7E"/>
    <w:rsid w:val="2C8F71E3"/>
    <w:rsid w:val="2C9802FA"/>
    <w:rsid w:val="2C9B22A8"/>
    <w:rsid w:val="2C9E136F"/>
    <w:rsid w:val="2CBB4C49"/>
    <w:rsid w:val="2CD86159"/>
    <w:rsid w:val="2CD868B0"/>
    <w:rsid w:val="2CDB277C"/>
    <w:rsid w:val="2CDD7CE5"/>
    <w:rsid w:val="2CF04DB6"/>
    <w:rsid w:val="2CF20AF8"/>
    <w:rsid w:val="2CF22067"/>
    <w:rsid w:val="2CF551CB"/>
    <w:rsid w:val="2CF82DBA"/>
    <w:rsid w:val="2D08029B"/>
    <w:rsid w:val="2D102694"/>
    <w:rsid w:val="2D1573DA"/>
    <w:rsid w:val="2D1A419C"/>
    <w:rsid w:val="2D1B75FC"/>
    <w:rsid w:val="2D1F080E"/>
    <w:rsid w:val="2D1F68ED"/>
    <w:rsid w:val="2D2B62D5"/>
    <w:rsid w:val="2D354D7A"/>
    <w:rsid w:val="2D4F1250"/>
    <w:rsid w:val="2D4F3AEB"/>
    <w:rsid w:val="2D5113C4"/>
    <w:rsid w:val="2D5123A1"/>
    <w:rsid w:val="2D636C81"/>
    <w:rsid w:val="2D674DDB"/>
    <w:rsid w:val="2D6E06D7"/>
    <w:rsid w:val="2D8F5B53"/>
    <w:rsid w:val="2D9D15FF"/>
    <w:rsid w:val="2DA03C9C"/>
    <w:rsid w:val="2DA70D21"/>
    <w:rsid w:val="2DAD5D55"/>
    <w:rsid w:val="2DB00528"/>
    <w:rsid w:val="2DC20350"/>
    <w:rsid w:val="2DD32EDA"/>
    <w:rsid w:val="2DDC445F"/>
    <w:rsid w:val="2DE41305"/>
    <w:rsid w:val="2DE501BD"/>
    <w:rsid w:val="2DEB3809"/>
    <w:rsid w:val="2DF858E6"/>
    <w:rsid w:val="2DFF29AE"/>
    <w:rsid w:val="2E0B2941"/>
    <w:rsid w:val="2E0D7E3A"/>
    <w:rsid w:val="2E0F1B09"/>
    <w:rsid w:val="2E390414"/>
    <w:rsid w:val="2E435C9D"/>
    <w:rsid w:val="2E495D46"/>
    <w:rsid w:val="2E4F45A7"/>
    <w:rsid w:val="2E503791"/>
    <w:rsid w:val="2E5346E1"/>
    <w:rsid w:val="2E60430C"/>
    <w:rsid w:val="2E646C6B"/>
    <w:rsid w:val="2E6E3C4C"/>
    <w:rsid w:val="2E6F0965"/>
    <w:rsid w:val="2E7175CD"/>
    <w:rsid w:val="2E735769"/>
    <w:rsid w:val="2E753CEA"/>
    <w:rsid w:val="2E78593F"/>
    <w:rsid w:val="2E7A4484"/>
    <w:rsid w:val="2E816B4F"/>
    <w:rsid w:val="2E901D08"/>
    <w:rsid w:val="2E9A2B77"/>
    <w:rsid w:val="2E9D6E63"/>
    <w:rsid w:val="2EA374E5"/>
    <w:rsid w:val="2EB65ADE"/>
    <w:rsid w:val="2EC46D57"/>
    <w:rsid w:val="2ECB0C21"/>
    <w:rsid w:val="2ED37726"/>
    <w:rsid w:val="2EE75BF0"/>
    <w:rsid w:val="2EEA15E5"/>
    <w:rsid w:val="2EED7551"/>
    <w:rsid w:val="2EF917BB"/>
    <w:rsid w:val="2F101C0D"/>
    <w:rsid w:val="2F1D31DA"/>
    <w:rsid w:val="2F29583F"/>
    <w:rsid w:val="2F38663A"/>
    <w:rsid w:val="2F3B6DB7"/>
    <w:rsid w:val="2F4076F7"/>
    <w:rsid w:val="2F42519D"/>
    <w:rsid w:val="2F431041"/>
    <w:rsid w:val="2F4438DD"/>
    <w:rsid w:val="2F5F534B"/>
    <w:rsid w:val="2F755200"/>
    <w:rsid w:val="2F7801BC"/>
    <w:rsid w:val="2F7D49BD"/>
    <w:rsid w:val="2F844987"/>
    <w:rsid w:val="2F9B51CB"/>
    <w:rsid w:val="2FB4447A"/>
    <w:rsid w:val="2FB948A5"/>
    <w:rsid w:val="2FBA4791"/>
    <w:rsid w:val="2FBA5731"/>
    <w:rsid w:val="2FBE6628"/>
    <w:rsid w:val="2FC066EA"/>
    <w:rsid w:val="2FC212AA"/>
    <w:rsid w:val="2FC33D11"/>
    <w:rsid w:val="2FCA571D"/>
    <w:rsid w:val="2FE2005E"/>
    <w:rsid w:val="2FF22D64"/>
    <w:rsid w:val="2FF45358"/>
    <w:rsid w:val="2FF90DE6"/>
    <w:rsid w:val="2FFB3F10"/>
    <w:rsid w:val="2FFB5B69"/>
    <w:rsid w:val="30034E80"/>
    <w:rsid w:val="302B1EB8"/>
    <w:rsid w:val="303210C6"/>
    <w:rsid w:val="303B2C15"/>
    <w:rsid w:val="303E7DA0"/>
    <w:rsid w:val="3044612D"/>
    <w:rsid w:val="30631DC5"/>
    <w:rsid w:val="306A3DEB"/>
    <w:rsid w:val="30863580"/>
    <w:rsid w:val="308966FF"/>
    <w:rsid w:val="30964001"/>
    <w:rsid w:val="309D403B"/>
    <w:rsid w:val="30AF1F72"/>
    <w:rsid w:val="30B432AE"/>
    <w:rsid w:val="30C9182E"/>
    <w:rsid w:val="30D010A8"/>
    <w:rsid w:val="30D06C0B"/>
    <w:rsid w:val="30E649BF"/>
    <w:rsid w:val="30EF04FC"/>
    <w:rsid w:val="310417B6"/>
    <w:rsid w:val="31075905"/>
    <w:rsid w:val="31083BE0"/>
    <w:rsid w:val="310E76D1"/>
    <w:rsid w:val="311A3253"/>
    <w:rsid w:val="311F03AF"/>
    <w:rsid w:val="312B45DC"/>
    <w:rsid w:val="31356BD3"/>
    <w:rsid w:val="313C5C39"/>
    <w:rsid w:val="31444C45"/>
    <w:rsid w:val="3147443E"/>
    <w:rsid w:val="3153763A"/>
    <w:rsid w:val="315B5506"/>
    <w:rsid w:val="317055EB"/>
    <w:rsid w:val="317C143C"/>
    <w:rsid w:val="317E78DD"/>
    <w:rsid w:val="31806573"/>
    <w:rsid w:val="318163BC"/>
    <w:rsid w:val="319F5AC7"/>
    <w:rsid w:val="31A07A6B"/>
    <w:rsid w:val="31A732EB"/>
    <w:rsid w:val="31AB310E"/>
    <w:rsid w:val="31BD3892"/>
    <w:rsid w:val="31BE3B58"/>
    <w:rsid w:val="31C56ABF"/>
    <w:rsid w:val="31C937AF"/>
    <w:rsid w:val="31DB6A43"/>
    <w:rsid w:val="31E02CC2"/>
    <w:rsid w:val="31E22B3C"/>
    <w:rsid w:val="31E85EDE"/>
    <w:rsid w:val="31EB0DCE"/>
    <w:rsid w:val="320F63F4"/>
    <w:rsid w:val="3212263A"/>
    <w:rsid w:val="3215399D"/>
    <w:rsid w:val="3217169D"/>
    <w:rsid w:val="32277FAA"/>
    <w:rsid w:val="322E2EDE"/>
    <w:rsid w:val="32317B54"/>
    <w:rsid w:val="32340CCE"/>
    <w:rsid w:val="3235093A"/>
    <w:rsid w:val="32417293"/>
    <w:rsid w:val="325177D1"/>
    <w:rsid w:val="325423B9"/>
    <w:rsid w:val="3272691F"/>
    <w:rsid w:val="32762AAA"/>
    <w:rsid w:val="327638B2"/>
    <w:rsid w:val="328332C4"/>
    <w:rsid w:val="32866E76"/>
    <w:rsid w:val="328E2952"/>
    <w:rsid w:val="328E33D2"/>
    <w:rsid w:val="32916A64"/>
    <w:rsid w:val="32940002"/>
    <w:rsid w:val="329C4F77"/>
    <w:rsid w:val="32AA5625"/>
    <w:rsid w:val="32AB1418"/>
    <w:rsid w:val="32BC4088"/>
    <w:rsid w:val="32BD17F8"/>
    <w:rsid w:val="32C05F6A"/>
    <w:rsid w:val="32C468F2"/>
    <w:rsid w:val="32CC324F"/>
    <w:rsid w:val="32CD0D85"/>
    <w:rsid w:val="32DA24B8"/>
    <w:rsid w:val="32E9457E"/>
    <w:rsid w:val="32EE7D52"/>
    <w:rsid w:val="32F71F2C"/>
    <w:rsid w:val="330C0B34"/>
    <w:rsid w:val="33177E61"/>
    <w:rsid w:val="331D652B"/>
    <w:rsid w:val="331E19C6"/>
    <w:rsid w:val="33277D80"/>
    <w:rsid w:val="3328712C"/>
    <w:rsid w:val="332A5430"/>
    <w:rsid w:val="332E6775"/>
    <w:rsid w:val="33392C66"/>
    <w:rsid w:val="334F5EED"/>
    <w:rsid w:val="335358FD"/>
    <w:rsid w:val="3354249E"/>
    <w:rsid w:val="335765A8"/>
    <w:rsid w:val="337F5ED6"/>
    <w:rsid w:val="33821022"/>
    <w:rsid w:val="338C5216"/>
    <w:rsid w:val="339230DB"/>
    <w:rsid w:val="339A642F"/>
    <w:rsid w:val="33B6521D"/>
    <w:rsid w:val="33BE3737"/>
    <w:rsid w:val="33C92642"/>
    <w:rsid w:val="33D13A18"/>
    <w:rsid w:val="33D43AF1"/>
    <w:rsid w:val="33D802DB"/>
    <w:rsid w:val="33E30322"/>
    <w:rsid w:val="33F32BAD"/>
    <w:rsid w:val="33F6539C"/>
    <w:rsid w:val="33F73764"/>
    <w:rsid w:val="33FD5004"/>
    <w:rsid w:val="341A7291"/>
    <w:rsid w:val="341E78BE"/>
    <w:rsid w:val="342E148B"/>
    <w:rsid w:val="344E6436"/>
    <w:rsid w:val="345F2FB6"/>
    <w:rsid w:val="34606CE5"/>
    <w:rsid w:val="346329EF"/>
    <w:rsid w:val="34673C61"/>
    <w:rsid w:val="346D7489"/>
    <w:rsid w:val="3484597D"/>
    <w:rsid w:val="34850CB6"/>
    <w:rsid w:val="349B00C2"/>
    <w:rsid w:val="34A265C0"/>
    <w:rsid w:val="34A5676C"/>
    <w:rsid w:val="34AA6743"/>
    <w:rsid w:val="34B400B5"/>
    <w:rsid w:val="34B47036"/>
    <w:rsid w:val="34BB12D4"/>
    <w:rsid w:val="34CC14EC"/>
    <w:rsid w:val="34E17DBE"/>
    <w:rsid w:val="34EB4EFF"/>
    <w:rsid w:val="34EC7377"/>
    <w:rsid w:val="34EE767E"/>
    <w:rsid w:val="34F36407"/>
    <w:rsid w:val="34FB4365"/>
    <w:rsid w:val="35350C30"/>
    <w:rsid w:val="353F3D8E"/>
    <w:rsid w:val="354806C4"/>
    <w:rsid w:val="354D0B8D"/>
    <w:rsid w:val="355F0A6A"/>
    <w:rsid w:val="355F55A6"/>
    <w:rsid w:val="356E7FEC"/>
    <w:rsid w:val="357746DF"/>
    <w:rsid w:val="35954959"/>
    <w:rsid w:val="35AD4FBB"/>
    <w:rsid w:val="35B253D0"/>
    <w:rsid w:val="35C676DA"/>
    <w:rsid w:val="35CA7A03"/>
    <w:rsid w:val="35E53F1B"/>
    <w:rsid w:val="35E748EF"/>
    <w:rsid w:val="35EB5876"/>
    <w:rsid w:val="35F45961"/>
    <w:rsid w:val="35F64F2F"/>
    <w:rsid w:val="360302A7"/>
    <w:rsid w:val="36090760"/>
    <w:rsid w:val="36135057"/>
    <w:rsid w:val="36193787"/>
    <w:rsid w:val="36243ECA"/>
    <w:rsid w:val="362D1F99"/>
    <w:rsid w:val="362F2DBF"/>
    <w:rsid w:val="363F6BB2"/>
    <w:rsid w:val="364502DB"/>
    <w:rsid w:val="36533C9F"/>
    <w:rsid w:val="3654768A"/>
    <w:rsid w:val="365702F9"/>
    <w:rsid w:val="365F2893"/>
    <w:rsid w:val="365F30FB"/>
    <w:rsid w:val="365F47B5"/>
    <w:rsid w:val="365F75DB"/>
    <w:rsid w:val="36663E0D"/>
    <w:rsid w:val="36811DF8"/>
    <w:rsid w:val="36823EC1"/>
    <w:rsid w:val="368B3253"/>
    <w:rsid w:val="368C4C4B"/>
    <w:rsid w:val="36923FA8"/>
    <w:rsid w:val="3693500D"/>
    <w:rsid w:val="369640CB"/>
    <w:rsid w:val="36A57D46"/>
    <w:rsid w:val="36A827E7"/>
    <w:rsid w:val="36BA7DD8"/>
    <w:rsid w:val="36BC32E0"/>
    <w:rsid w:val="36C20ED0"/>
    <w:rsid w:val="36C612DD"/>
    <w:rsid w:val="36C7689E"/>
    <w:rsid w:val="36D14637"/>
    <w:rsid w:val="36D3537D"/>
    <w:rsid w:val="36D7115A"/>
    <w:rsid w:val="36D84547"/>
    <w:rsid w:val="36F415B9"/>
    <w:rsid w:val="36FA3CB8"/>
    <w:rsid w:val="36FE7148"/>
    <w:rsid w:val="370273FE"/>
    <w:rsid w:val="3708462B"/>
    <w:rsid w:val="37095F55"/>
    <w:rsid w:val="3709691A"/>
    <w:rsid w:val="37136718"/>
    <w:rsid w:val="371B4D8D"/>
    <w:rsid w:val="371C0A15"/>
    <w:rsid w:val="372A1353"/>
    <w:rsid w:val="374E4611"/>
    <w:rsid w:val="375349CC"/>
    <w:rsid w:val="37585803"/>
    <w:rsid w:val="376210C6"/>
    <w:rsid w:val="37630C3D"/>
    <w:rsid w:val="3767084A"/>
    <w:rsid w:val="37765727"/>
    <w:rsid w:val="37846CA1"/>
    <w:rsid w:val="378E1E0C"/>
    <w:rsid w:val="379D6125"/>
    <w:rsid w:val="379F0A6C"/>
    <w:rsid w:val="37B17B17"/>
    <w:rsid w:val="37BE10D0"/>
    <w:rsid w:val="37C138E5"/>
    <w:rsid w:val="37D64ED1"/>
    <w:rsid w:val="37DC1A1C"/>
    <w:rsid w:val="37E235AC"/>
    <w:rsid w:val="37E50AE3"/>
    <w:rsid w:val="37E90860"/>
    <w:rsid w:val="37EE1C4B"/>
    <w:rsid w:val="37EE56DC"/>
    <w:rsid w:val="37F17845"/>
    <w:rsid w:val="37F27B37"/>
    <w:rsid w:val="37FC2449"/>
    <w:rsid w:val="3806414B"/>
    <w:rsid w:val="380854CB"/>
    <w:rsid w:val="380A5705"/>
    <w:rsid w:val="3816694A"/>
    <w:rsid w:val="38187AE8"/>
    <w:rsid w:val="382121A3"/>
    <w:rsid w:val="3821258E"/>
    <w:rsid w:val="3826562E"/>
    <w:rsid w:val="382E3C24"/>
    <w:rsid w:val="38392499"/>
    <w:rsid w:val="383B7388"/>
    <w:rsid w:val="383F3F2E"/>
    <w:rsid w:val="38413897"/>
    <w:rsid w:val="38437C3C"/>
    <w:rsid w:val="384B487F"/>
    <w:rsid w:val="384D1596"/>
    <w:rsid w:val="38533E37"/>
    <w:rsid w:val="38584F0E"/>
    <w:rsid w:val="3862224D"/>
    <w:rsid w:val="386F3AAB"/>
    <w:rsid w:val="38740963"/>
    <w:rsid w:val="38884914"/>
    <w:rsid w:val="388C2C69"/>
    <w:rsid w:val="38944974"/>
    <w:rsid w:val="38A51E9F"/>
    <w:rsid w:val="38A54CCA"/>
    <w:rsid w:val="38AF6C44"/>
    <w:rsid w:val="38B37910"/>
    <w:rsid w:val="38D7678C"/>
    <w:rsid w:val="38EF2BE5"/>
    <w:rsid w:val="39044845"/>
    <w:rsid w:val="390E77F5"/>
    <w:rsid w:val="39115313"/>
    <w:rsid w:val="3918221C"/>
    <w:rsid w:val="391A653A"/>
    <w:rsid w:val="391B0E02"/>
    <w:rsid w:val="39207AB0"/>
    <w:rsid w:val="3930124A"/>
    <w:rsid w:val="39440EA3"/>
    <w:rsid w:val="39451FFD"/>
    <w:rsid w:val="39455DE4"/>
    <w:rsid w:val="39470F75"/>
    <w:rsid w:val="39474854"/>
    <w:rsid w:val="394A10A7"/>
    <w:rsid w:val="39553C0E"/>
    <w:rsid w:val="39572A36"/>
    <w:rsid w:val="395A1E24"/>
    <w:rsid w:val="395D0E24"/>
    <w:rsid w:val="395D7DAB"/>
    <w:rsid w:val="3972189E"/>
    <w:rsid w:val="397F6CC9"/>
    <w:rsid w:val="399718FA"/>
    <w:rsid w:val="39A42D8B"/>
    <w:rsid w:val="39A6657C"/>
    <w:rsid w:val="39A94AAA"/>
    <w:rsid w:val="39AC2239"/>
    <w:rsid w:val="39D017B2"/>
    <w:rsid w:val="39D229CA"/>
    <w:rsid w:val="39DD43BA"/>
    <w:rsid w:val="39E129B4"/>
    <w:rsid w:val="39E41D90"/>
    <w:rsid w:val="39E42BCF"/>
    <w:rsid w:val="39F61291"/>
    <w:rsid w:val="39FB5F57"/>
    <w:rsid w:val="3A031CFA"/>
    <w:rsid w:val="3A056608"/>
    <w:rsid w:val="3A356ED3"/>
    <w:rsid w:val="3A3B1032"/>
    <w:rsid w:val="3A420E80"/>
    <w:rsid w:val="3A4B161D"/>
    <w:rsid w:val="3A4B375E"/>
    <w:rsid w:val="3A4D7BA2"/>
    <w:rsid w:val="3A515967"/>
    <w:rsid w:val="3A51728F"/>
    <w:rsid w:val="3A523BF6"/>
    <w:rsid w:val="3A546A7A"/>
    <w:rsid w:val="3A5647A0"/>
    <w:rsid w:val="3A676504"/>
    <w:rsid w:val="3A7D22CF"/>
    <w:rsid w:val="3A7D6A3C"/>
    <w:rsid w:val="3A7E22A7"/>
    <w:rsid w:val="3A8555FB"/>
    <w:rsid w:val="3A8C2A4E"/>
    <w:rsid w:val="3A94602D"/>
    <w:rsid w:val="3A9C310A"/>
    <w:rsid w:val="3A9D181B"/>
    <w:rsid w:val="3AA44A92"/>
    <w:rsid w:val="3AB12914"/>
    <w:rsid w:val="3AC71CDC"/>
    <w:rsid w:val="3AD17786"/>
    <w:rsid w:val="3AD466A2"/>
    <w:rsid w:val="3AD51FD2"/>
    <w:rsid w:val="3ADA1773"/>
    <w:rsid w:val="3AFF1A67"/>
    <w:rsid w:val="3B017BFC"/>
    <w:rsid w:val="3B0B3B93"/>
    <w:rsid w:val="3B0D1219"/>
    <w:rsid w:val="3B304980"/>
    <w:rsid w:val="3B367D59"/>
    <w:rsid w:val="3B395A39"/>
    <w:rsid w:val="3B3B5253"/>
    <w:rsid w:val="3B4D07AD"/>
    <w:rsid w:val="3B544E79"/>
    <w:rsid w:val="3B6330AC"/>
    <w:rsid w:val="3B653A20"/>
    <w:rsid w:val="3B7153C7"/>
    <w:rsid w:val="3B771DBC"/>
    <w:rsid w:val="3B7A4550"/>
    <w:rsid w:val="3B7A7637"/>
    <w:rsid w:val="3B8123F2"/>
    <w:rsid w:val="3B832219"/>
    <w:rsid w:val="3B8C6729"/>
    <w:rsid w:val="3B947E63"/>
    <w:rsid w:val="3B9B0E6D"/>
    <w:rsid w:val="3B9D468B"/>
    <w:rsid w:val="3BAE2A6C"/>
    <w:rsid w:val="3BDB45F8"/>
    <w:rsid w:val="3BDE7AA4"/>
    <w:rsid w:val="3C0068C5"/>
    <w:rsid w:val="3C15179B"/>
    <w:rsid w:val="3C1B484A"/>
    <w:rsid w:val="3C1B4EBE"/>
    <w:rsid w:val="3C297708"/>
    <w:rsid w:val="3C323220"/>
    <w:rsid w:val="3C3B1D65"/>
    <w:rsid w:val="3C3E28A1"/>
    <w:rsid w:val="3C45610E"/>
    <w:rsid w:val="3C7230AB"/>
    <w:rsid w:val="3C73783E"/>
    <w:rsid w:val="3C7C417B"/>
    <w:rsid w:val="3C8065B8"/>
    <w:rsid w:val="3C811DDF"/>
    <w:rsid w:val="3C886DD1"/>
    <w:rsid w:val="3C963A82"/>
    <w:rsid w:val="3C9D247B"/>
    <w:rsid w:val="3CA80615"/>
    <w:rsid w:val="3CAE76AA"/>
    <w:rsid w:val="3CB22404"/>
    <w:rsid w:val="3CB63AF7"/>
    <w:rsid w:val="3CB66327"/>
    <w:rsid w:val="3CB75ABB"/>
    <w:rsid w:val="3CBD708E"/>
    <w:rsid w:val="3CBE36D3"/>
    <w:rsid w:val="3CCE3C3C"/>
    <w:rsid w:val="3CD645F9"/>
    <w:rsid w:val="3CDB1AFC"/>
    <w:rsid w:val="3CDC3697"/>
    <w:rsid w:val="3CE36A79"/>
    <w:rsid w:val="3CE96EE8"/>
    <w:rsid w:val="3CEA773D"/>
    <w:rsid w:val="3CEF579F"/>
    <w:rsid w:val="3CEF7718"/>
    <w:rsid w:val="3CF67D19"/>
    <w:rsid w:val="3CFA6241"/>
    <w:rsid w:val="3D0E1C72"/>
    <w:rsid w:val="3D117802"/>
    <w:rsid w:val="3D191357"/>
    <w:rsid w:val="3D243641"/>
    <w:rsid w:val="3D250A16"/>
    <w:rsid w:val="3D336483"/>
    <w:rsid w:val="3D347A13"/>
    <w:rsid w:val="3D4367CF"/>
    <w:rsid w:val="3D451820"/>
    <w:rsid w:val="3D532205"/>
    <w:rsid w:val="3D544CD7"/>
    <w:rsid w:val="3D556B27"/>
    <w:rsid w:val="3D563068"/>
    <w:rsid w:val="3D617D49"/>
    <w:rsid w:val="3D711F1B"/>
    <w:rsid w:val="3D7A0295"/>
    <w:rsid w:val="3D7D595D"/>
    <w:rsid w:val="3D801956"/>
    <w:rsid w:val="3D803BD3"/>
    <w:rsid w:val="3D902E4E"/>
    <w:rsid w:val="3D973552"/>
    <w:rsid w:val="3D980565"/>
    <w:rsid w:val="3D987D64"/>
    <w:rsid w:val="3D9C651A"/>
    <w:rsid w:val="3D9E2BEB"/>
    <w:rsid w:val="3DA720C9"/>
    <w:rsid w:val="3DA93227"/>
    <w:rsid w:val="3DAC0AED"/>
    <w:rsid w:val="3DBB68F9"/>
    <w:rsid w:val="3DBF3EEA"/>
    <w:rsid w:val="3DC323F1"/>
    <w:rsid w:val="3DC55F33"/>
    <w:rsid w:val="3DCB6386"/>
    <w:rsid w:val="3DCE31C6"/>
    <w:rsid w:val="3DD429A5"/>
    <w:rsid w:val="3DDB5D30"/>
    <w:rsid w:val="3DE802D3"/>
    <w:rsid w:val="3DF02988"/>
    <w:rsid w:val="3DF17584"/>
    <w:rsid w:val="3DF45107"/>
    <w:rsid w:val="3E06719B"/>
    <w:rsid w:val="3E071569"/>
    <w:rsid w:val="3E084204"/>
    <w:rsid w:val="3E116C3A"/>
    <w:rsid w:val="3E15761F"/>
    <w:rsid w:val="3E3D7074"/>
    <w:rsid w:val="3E4E3BA2"/>
    <w:rsid w:val="3E535E5C"/>
    <w:rsid w:val="3E693FBC"/>
    <w:rsid w:val="3E6C270C"/>
    <w:rsid w:val="3E7B1F36"/>
    <w:rsid w:val="3E880139"/>
    <w:rsid w:val="3E8A4034"/>
    <w:rsid w:val="3E9446D0"/>
    <w:rsid w:val="3EC563A4"/>
    <w:rsid w:val="3EC83497"/>
    <w:rsid w:val="3EC85C0C"/>
    <w:rsid w:val="3ECC0E0E"/>
    <w:rsid w:val="3ED24EEB"/>
    <w:rsid w:val="3EDF1425"/>
    <w:rsid w:val="3EE136A3"/>
    <w:rsid w:val="3EE3518C"/>
    <w:rsid w:val="3EF37E3C"/>
    <w:rsid w:val="3F0D6CDE"/>
    <w:rsid w:val="3F0E4D1A"/>
    <w:rsid w:val="3F153C76"/>
    <w:rsid w:val="3F263EFC"/>
    <w:rsid w:val="3F2B2080"/>
    <w:rsid w:val="3F2B6E03"/>
    <w:rsid w:val="3F390FCC"/>
    <w:rsid w:val="3F3C74BF"/>
    <w:rsid w:val="3F3D7DF3"/>
    <w:rsid w:val="3F3F73FA"/>
    <w:rsid w:val="3F415B51"/>
    <w:rsid w:val="3F5A0B58"/>
    <w:rsid w:val="3F624929"/>
    <w:rsid w:val="3F656402"/>
    <w:rsid w:val="3F6F68FE"/>
    <w:rsid w:val="3F7468ED"/>
    <w:rsid w:val="3F7D0FB4"/>
    <w:rsid w:val="3F7F6866"/>
    <w:rsid w:val="3F835FA4"/>
    <w:rsid w:val="3F863BC6"/>
    <w:rsid w:val="3F897B16"/>
    <w:rsid w:val="3F9303CC"/>
    <w:rsid w:val="3F97307A"/>
    <w:rsid w:val="3F9939D6"/>
    <w:rsid w:val="3F9C4667"/>
    <w:rsid w:val="3F9D55D3"/>
    <w:rsid w:val="3FAC072E"/>
    <w:rsid w:val="3FC55BB1"/>
    <w:rsid w:val="3FCB5655"/>
    <w:rsid w:val="3FCC0D27"/>
    <w:rsid w:val="3FD87FB9"/>
    <w:rsid w:val="3FD91BED"/>
    <w:rsid w:val="3FDB4371"/>
    <w:rsid w:val="3FE76745"/>
    <w:rsid w:val="3FF63683"/>
    <w:rsid w:val="400217BA"/>
    <w:rsid w:val="40034A84"/>
    <w:rsid w:val="40144D9E"/>
    <w:rsid w:val="401A12CE"/>
    <w:rsid w:val="401C46C6"/>
    <w:rsid w:val="403039BF"/>
    <w:rsid w:val="40392491"/>
    <w:rsid w:val="40425434"/>
    <w:rsid w:val="40493140"/>
    <w:rsid w:val="405D38F6"/>
    <w:rsid w:val="406445AD"/>
    <w:rsid w:val="406B2435"/>
    <w:rsid w:val="406B6278"/>
    <w:rsid w:val="40700A5F"/>
    <w:rsid w:val="40967D44"/>
    <w:rsid w:val="40A9626F"/>
    <w:rsid w:val="40AB5722"/>
    <w:rsid w:val="40C7189A"/>
    <w:rsid w:val="40C77E57"/>
    <w:rsid w:val="40D64B1E"/>
    <w:rsid w:val="40D656AB"/>
    <w:rsid w:val="40DB5BFC"/>
    <w:rsid w:val="40E04645"/>
    <w:rsid w:val="40E218FF"/>
    <w:rsid w:val="40E5415A"/>
    <w:rsid w:val="40EC35B5"/>
    <w:rsid w:val="40EC3638"/>
    <w:rsid w:val="40EE1989"/>
    <w:rsid w:val="40F361B3"/>
    <w:rsid w:val="40F4385F"/>
    <w:rsid w:val="4107237F"/>
    <w:rsid w:val="41144F0B"/>
    <w:rsid w:val="411C008E"/>
    <w:rsid w:val="411E5AD7"/>
    <w:rsid w:val="411F6135"/>
    <w:rsid w:val="412251FF"/>
    <w:rsid w:val="4132026F"/>
    <w:rsid w:val="413213DA"/>
    <w:rsid w:val="4144547F"/>
    <w:rsid w:val="41450451"/>
    <w:rsid w:val="4149682F"/>
    <w:rsid w:val="41497358"/>
    <w:rsid w:val="414B41F2"/>
    <w:rsid w:val="41535CCC"/>
    <w:rsid w:val="415F2F4E"/>
    <w:rsid w:val="41657494"/>
    <w:rsid w:val="41667E44"/>
    <w:rsid w:val="416712E1"/>
    <w:rsid w:val="4168069B"/>
    <w:rsid w:val="416A285B"/>
    <w:rsid w:val="41714CC9"/>
    <w:rsid w:val="417252E4"/>
    <w:rsid w:val="41823B67"/>
    <w:rsid w:val="418D4C8C"/>
    <w:rsid w:val="418F5CFD"/>
    <w:rsid w:val="41907E00"/>
    <w:rsid w:val="41AD33E7"/>
    <w:rsid w:val="41B624C1"/>
    <w:rsid w:val="41B755FE"/>
    <w:rsid w:val="41DB17EF"/>
    <w:rsid w:val="41E34EBA"/>
    <w:rsid w:val="41F37B52"/>
    <w:rsid w:val="41F70FCA"/>
    <w:rsid w:val="41FA2279"/>
    <w:rsid w:val="41FE610C"/>
    <w:rsid w:val="420B095F"/>
    <w:rsid w:val="420B16DD"/>
    <w:rsid w:val="42192EA2"/>
    <w:rsid w:val="421F2EEA"/>
    <w:rsid w:val="421F7AE3"/>
    <w:rsid w:val="42207475"/>
    <w:rsid w:val="4226491B"/>
    <w:rsid w:val="423B40FC"/>
    <w:rsid w:val="42410DF7"/>
    <w:rsid w:val="424204B1"/>
    <w:rsid w:val="42423AD1"/>
    <w:rsid w:val="42572512"/>
    <w:rsid w:val="425B2EDA"/>
    <w:rsid w:val="425E34D2"/>
    <w:rsid w:val="426300BB"/>
    <w:rsid w:val="426F2F83"/>
    <w:rsid w:val="42755200"/>
    <w:rsid w:val="42766B2E"/>
    <w:rsid w:val="4277301D"/>
    <w:rsid w:val="427B5924"/>
    <w:rsid w:val="428369DA"/>
    <w:rsid w:val="42892594"/>
    <w:rsid w:val="428A6E7B"/>
    <w:rsid w:val="428D79AE"/>
    <w:rsid w:val="428E4267"/>
    <w:rsid w:val="42955563"/>
    <w:rsid w:val="42AA0EF4"/>
    <w:rsid w:val="42B0620E"/>
    <w:rsid w:val="42B35E3A"/>
    <w:rsid w:val="42B7594D"/>
    <w:rsid w:val="42CB363F"/>
    <w:rsid w:val="42CE680D"/>
    <w:rsid w:val="42D42BFE"/>
    <w:rsid w:val="42E44301"/>
    <w:rsid w:val="42EC6AAA"/>
    <w:rsid w:val="42FB6EA6"/>
    <w:rsid w:val="43027B26"/>
    <w:rsid w:val="430738BA"/>
    <w:rsid w:val="430A2E85"/>
    <w:rsid w:val="430A731E"/>
    <w:rsid w:val="43311EE9"/>
    <w:rsid w:val="4332174D"/>
    <w:rsid w:val="4333207B"/>
    <w:rsid w:val="43420500"/>
    <w:rsid w:val="434B4745"/>
    <w:rsid w:val="4362095F"/>
    <w:rsid w:val="436C09FB"/>
    <w:rsid w:val="436E04F8"/>
    <w:rsid w:val="43726A2B"/>
    <w:rsid w:val="4388436E"/>
    <w:rsid w:val="43987620"/>
    <w:rsid w:val="43A9745E"/>
    <w:rsid w:val="43AE27D4"/>
    <w:rsid w:val="43AF0C87"/>
    <w:rsid w:val="43AF21BC"/>
    <w:rsid w:val="43B04497"/>
    <w:rsid w:val="43C10E5F"/>
    <w:rsid w:val="43E31540"/>
    <w:rsid w:val="43EE1D83"/>
    <w:rsid w:val="44092874"/>
    <w:rsid w:val="440F3720"/>
    <w:rsid w:val="44197B70"/>
    <w:rsid w:val="44203D79"/>
    <w:rsid w:val="44212C65"/>
    <w:rsid w:val="442C4419"/>
    <w:rsid w:val="442C5F44"/>
    <w:rsid w:val="44355C4F"/>
    <w:rsid w:val="443F45B0"/>
    <w:rsid w:val="4440629F"/>
    <w:rsid w:val="44462546"/>
    <w:rsid w:val="444B0DAE"/>
    <w:rsid w:val="444F6314"/>
    <w:rsid w:val="445C759A"/>
    <w:rsid w:val="445D7D56"/>
    <w:rsid w:val="44655159"/>
    <w:rsid w:val="447822E5"/>
    <w:rsid w:val="447E10EE"/>
    <w:rsid w:val="44856E85"/>
    <w:rsid w:val="44894D62"/>
    <w:rsid w:val="44974E16"/>
    <w:rsid w:val="4498676A"/>
    <w:rsid w:val="4499373D"/>
    <w:rsid w:val="44BC6121"/>
    <w:rsid w:val="44C20DB4"/>
    <w:rsid w:val="44C65ADD"/>
    <w:rsid w:val="44DB1F0F"/>
    <w:rsid w:val="44E66302"/>
    <w:rsid w:val="44F7391D"/>
    <w:rsid w:val="44F73BB6"/>
    <w:rsid w:val="44FF2646"/>
    <w:rsid w:val="45003600"/>
    <w:rsid w:val="4519213C"/>
    <w:rsid w:val="452B77B4"/>
    <w:rsid w:val="453F1FA7"/>
    <w:rsid w:val="4549028A"/>
    <w:rsid w:val="454D0FD8"/>
    <w:rsid w:val="45554812"/>
    <w:rsid w:val="455A7470"/>
    <w:rsid w:val="455D1FCC"/>
    <w:rsid w:val="45644983"/>
    <w:rsid w:val="45674C19"/>
    <w:rsid w:val="4578448C"/>
    <w:rsid w:val="457B49A8"/>
    <w:rsid w:val="458067DD"/>
    <w:rsid w:val="4583796F"/>
    <w:rsid w:val="45943D95"/>
    <w:rsid w:val="45A70CAF"/>
    <w:rsid w:val="45AA7406"/>
    <w:rsid w:val="45B072F5"/>
    <w:rsid w:val="45C05E59"/>
    <w:rsid w:val="45E50536"/>
    <w:rsid w:val="45F04EBB"/>
    <w:rsid w:val="45FC1DF8"/>
    <w:rsid w:val="460F5E76"/>
    <w:rsid w:val="46165531"/>
    <w:rsid w:val="462754D2"/>
    <w:rsid w:val="462C1402"/>
    <w:rsid w:val="463D5421"/>
    <w:rsid w:val="464C3FBC"/>
    <w:rsid w:val="465A7043"/>
    <w:rsid w:val="465C5CDB"/>
    <w:rsid w:val="465F0616"/>
    <w:rsid w:val="46632727"/>
    <w:rsid w:val="467139B6"/>
    <w:rsid w:val="46832E92"/>
    <w:rsid w:val="46887DB0"/>
    <w:rsid w:val="4696121D"/>
    <w:rsid w:val="469619AB"/>
    <w:rsid w:val="469958F3"/>
    <w:rsid w:val="46A16F9B"/>
    <w:rsid w:val="46A84254"/>
    <w:rsid w:val="46DB5AA5"/>
    <w:rsid w:val="46E40992"/>
    <w:rsid w:val="46E8380C"/>
    <w:rsid w:val="46F5372B"/>
    <w:rsid w:val="46FF3B6A"/>
    <w:rsid w:val="470A1680"/>
    <w:rsid w:val="470D34A7"/>
    <w:rsid w:val="470D44FF"/>
    <w:rsid w:val="4710401A"/>
    <w:rsid w:val="47292E31"/>
    <w:rsid w:val="47303250"/>
    <w:rsid w:val="4730430B"/>
    <w:rsid w:val="47345202"/>
    <w:rsid w:val="474C51CD"/>
    <w:rsid w:val="47620EA1"/>
    <w:rsid w:val="47640079"/>
    <w:rsid w:val="47850FE7"/>
    <w:rsid w:val="478E1F56"/>
    <w:rsid w:val="4797118F"/>
    <w:rsid w:val="47B6282D"/>
    <w:rsid w:val="47B91BCB"/>
    <w:rsid w:val="47D844AD"/>
    <w:rsid w:val="47D869F4"/>
    <w:rsid w:val="47ED18F2"/>
    <w:rsid w:val="47F14348"/>
    <w:rsid w:val="47F83974"/>
    <w:rsid w:val="48022A64"/>
    <w:rsid w:val="48036FC2"/>
    <w:rsid w:val="48043DCF"/>
    <w:rsid w:val="480609BA"/>
    <w:rsid w:val="48100BD1"/>
    <w:rsid w:val="481A6FF2"/>
    <w:rsid w:val="4829660A"/>
    <w:rsid w:val="48330508"/>
    <w:rsid w:val="48437348"/>
    <w:rsid w:val="484E6CB7"/>
    <w:rsid w:val="48536298"/>
    <w:rsid w:val="486439A5"/>
    <w:rsid w:val="486B607E"/>
    <w:rsid w:val="486E77AC"/>
    <w:rsid w:val="4871593E"/>
    <w:rsid w:val="487F7786"/>
    <w:rsid w:val="48876FDE"/>
    <w:rsid w:val="48877E0A"/>
    <w:rsid w:val="488A390F"/>
    <w:rsid w:val="488E1DEC"/>
    <w:rsid w:val="488F51D0"/>
    <w:rsid w:val="48971875"/>
    <w:rsid w:val="48AC5E67"/>
    <w:rsid w:val="48B9644D"/>
    <w:rsid w:val="48D908F3"/>
    <w:rsid w:val="48DE0034"/>
    <w:rsid w:val="48ED4A22"/>
    <w:rsid w:val="48ED5FCF"/>
    <w:rsid w:val="48F6514B"/>
    <w:rsid w:val="49050E38"/>
    <w:rsid w:val="490D11B7"/>
    <w:rsid w:val="490F4E84"/>
    <w:rsid w:val="4910273B"/>
    <w:rsid w:val="4914193B"/>
    <w:rsid w:val="4917495B"/>
    <w:rsid w:val="491C07D4"/>
    <w:rsid w:val="491D495D"/>
    <w:rsid w:val="492A1A46"/>
    <w:rsid w:val="49396DDA"/>
    <w:rsid w:val="4944362F"/>
    <w:rsid w:val="49495746"/>
    <w:rsid w:val="494C7CF7"/>
    <w:rsid w:val="494E18E0"/>
    <w:rsid w:val="49543267"/>
    <w:rsid w:val="495A6246"/>
    <w:rsid w:val="49641CB1"/>
    <w:rsid w:val="49680E8F"/>
    <w:rsid w:val="496D57A8"/>
    <w:rsid w:val="497069A8"/>
    <w:rsid w:val="49746960"/>
    <w:rsid w:val="497C214D"/>
    <w:rsid w:val="497D4CB8"/>
    <w:rsid w:val="497D684E"/>
    <w:rsid w:val="4985607B"/>
    <w:rsid w:val="498747CA"/>
    <w:rsid w:val="498B18D4"/>
    <w:rsid w:val="499645DE"/>
    <w:rsid w:val="499763F7"/>
    <w:rsid w:val="49987345"/>
    <w:rsid w:val="499D48D9"/>
    <w:rsid w:val="49AB3360"/>
    <w:rsid w:val="49AC4B34"/>
    <w:rsid w:val="49AC7D75"/>
    <w:rsid w:val="49B96B7C"/>
    <w:rsid w:val="49C21BD5"/>
    <w:rsid w:val="49CE1130"/>
    <w:rsid w:val="49D24400"/>
    <w:rsid w:val="49D56EB7"/>
    <w:rsid w:val="49D70B8B"/>
    <w:rsid w:val="49D82D1B"/>
    <w:rsid w:val="49E43EDE"/>
    <w:rsid w:val="49F438EA"/>
    <w:rsid w:val="49F5664E"/>
    <w:rsid w:val="49F90C7B"/>
    <w:rsid w:val="49FD7B42"/>
    <w:rsid w:val="4A0562CE"/>
    <w:rsid w:val="4A204867"/>
    <w:rsid w:val="4A221FDF"/>
    <w:rsid w:val="4A276257"/>
    <w:rsid w:val="4A2E1990"/>
    <w:rsid w:val="4A2F5E2E"/>
    <w:rsid w:val="4A314194"/>
    <w:rsid w:val="4A3B03A1"/>
    <w:rsid w:val="4A5B4287"/>
    <w:rsid w:val="4A6F09E2"/>
    <w:rsid w:val="4A724FEA"/>
    <w:rsid w:val="4A776B1C"/>
    <w:rsid w:val="4A8614A1"/>
    <w:rsid w:val="4A867DDB"/>
    <w:rsid w:val="4A882CD0"/>
    <w:rsid w:val="4A8A4257"/>
    <w:rsid w:val="4A905F39"/>
    <w:rsid w:val="4A9865D2"/>
    <w:rsid w:val="4A9A12FE"/>
    <w:rsid w:val="4AA42B35"/>
    <w:rsid w:val="4AC4490E"/>
    <w:rsid w:val="4AC87C58"/>
    <w:rsid w:val="4ACC1574"/>
    <w:rsid w:val="4AD26F79"/>
    <w:rsid w:val="4AD615A0"/>
    <w:rsid w:val="4AE04B3D"/>
    <w:rsid w:val="4AEB2E5C"/>
    <w:rsid w:val="4AEE50BF"/>
    <w:rsid w:val="4AF30552"/>
    <w:rsid w:val="4AF548B9"/>
    <w:rsid w:val="4AF839F2"/>
    <w:rsid w:val="4B0D2097"/>
    <w:rsid w:val="4B0E39B4"/>
    <w:rsid w:val="4B103265"/>
    <w:rsid w:val="4B117A8B"/>
    <w:rsid w:val="4B1730DD"/>
    <w:rsid w:val="4B3652D0"/>
    <w:rsid w:val="4B3D148F"/>
    <w:rsid w:val="4B3F1ABB"/>
    <w:rsid w:val="4B517B5A"/>
    <w:rsid w:val="4B5735E8"/>
    <w:rsid w:val="4B5F1763"/>
    <w:rsid w:val="4B641EBD"/>
    <w:rsid w:val="4B6D44B7"/>
    <w:rsid w:val="4B7529D1"/>
    <w:rsid w:val="4B7B55B9"/>
    <w:rsid w:val="4B81033B"/>
    <w:rsid w:val="4B85623A"/>
    <w:rsid w:val="4B947CC4"/>
    <w:rsid w:val="4B971442"/>
    <w:rsid w:val="4BB007A8"/>
    <w:rsid w:val="4BB261DC"/>
    <w:rsid w:val="4BE20CF0"/>
    <w:rsid w:val="4BF51BDF"/>
    <w:rsid w:val="4C0A6AA7"/>
    <w:rsid w:val="4C172299"/>
    <w:rsid w:val="4C1C437D"/>
    <w:rsid w:val="4C1C7B61"/>
    <w:rsid w:val="4C2B1CE1"/>
    <w:rsid w:val="4C417328"/>
    <w:rsid w:val="4C4424B9"/>
    <w:rsid w:val="4C44720C"/>
    <w:rsid w:val="4C452ABF"/>
    <w:rsid w:val="4C4D2CD4"/>
    <w:rsid w:val="4C57011E"/>
    <w:rsid w:val="4C590C7A"/>
    <w:rsid w:val="4C5F307C"/>
    <w:rsid w:val="4C5F4EC1"/>
    <w:rsid w:val="4C800CBC"/>
    <w:rsid w:val="4C853B5A"/>
    <w:rsid w:val="4C8B2315"/>
    <w:rsid w:val="4C8F4F1C"/>
    <w:rsid w:val="4C8F5EE1"/>
    <w:rsid w:val="4C9120BE"/>
    <w:rsid w:val="4C995661"/>
    <w:rsid w:val="4C9A1BCD"/>
    <w:rsid w:val="4CB701C3"/>
    <w:rsid w:val="4CC90607"/>
    <w:rsid w:val="4CCB46CE"/>
    <w:rsid w:val="4CCB5BFD"/>
    <w:rsid w:val="4CEF097F"/>
    <w:rsid w:val="4CF51FC7"/>
    <w:rsid w:val="4D0959F9"/>
    <w:rsid w:val="4D0C437A"/>
    <w:rsid w:val="4D17617A"/>
    <w:rsid w:val="4D233026"/>
    <w:rsid w:val="4D2506D6"/>
    <w:rsid w:val="4D265D5B"/>
    <w:rsid w:val="4D284315"/>
    <w:rsid w:val="4D2E77C5"/>
    <w:rsid w:val="4D3512B2"/>
    <w:rsid w:val="4D372760"/>
    <w:rsid w:val="4D401DFE"/>
    <w:rsid w:val="4D4E5CF9"/>
    <w:rsid w:val="4D545434"/>
    <w:rsid w:val="4D6311ED"/>
    <w:rsid w:val="4D6372C0"/>
    <w:rsid w:val="4D660722"/>
    <w:rsid w:val="4D677D7A"/>
    <w:rsid w:val="4D6B7125"/>
    <w:rsid w:val="4D6E688E"/>
    <w:rsid w:val="4D70221D"/>
    <w:rsid w:val="4D7B0BAA"/>
    <w:rsid w:val="4D82342E"/>
    <w:rsid w:val="4D857F7B"/>
    <w:rsid w:val="4D8E227E"/>
    <w:rsid w:val="4D8E4EEF"/>
    <w:rsid w:val="4DA47014"/>
    <w:rsid w:val="4DA91A4F"/>
    <w:rsid w:val="4DC83EEE"/>
    <w:rsid w:val="4DCD7E3E"/>
    <w:rsid w:val="4DD04618"/>
    <w:rsid w:val="4DD61276"/>
    <w:rsid w:val="4DD65EB9"/>
    <w:rsid w:val="4DD92C81"/>
    <w:rsid w:val="4DDA06A4"/>
    <w:rsid w:val="4DDB5D15"/>
    <w:rsid w:val="4DDD016C"/>
    <w:rsid w:val="4DDD0D7D"/>
    <w:rsid w:val="4DE92162"/>
    <w:rsid w:val="4E0521EC"/>
    <w:rsid w:val="4E067852"/>
    <w:rsid w:val="4E132191"/>
    <w:rsid w:val="4E162A8B"/>
    <w:rsid w:val="4E1C5E8A"/>
    <w:rsid w:val="4E304B3A"/>
    <w:rsid w:val="4E34584C"/>
    <w:rsid w:val="4E3645EE"/>
    <w:rsid w:val="4E4E1877"/>
    <w:rsid w:val="4E507D14"/>
    <w:rsid w:val="4E514DFC"/>
    <w:rsid w:val="4E5F0AD1"/>
    <w:rsid w:val="4E5F74FA"/>
    <w:rsid w:val="4E620414"/>
    <w:rsid w:val="4E623CC1"/>
    <w:rsid w:val="4E6A08D5"/>
    <w:rsid w:val="4E6C098F"/>
    <w:rsid w:val="4E6E06F7"/>
    <w:rsid w:val="4E6E4FD9"/>
    <w:rsid w:val="4E7169B3"/>
    <w:rsid w:val="4E804B46"/>
    <w:rsid w:val="4E8C5830"/>
    <w:rsid w:val="4E8D02AD"/>
    <w:rsid w:val="4E8E4960"/>
    <w:rsid w:val="4E9B3BFB"/>
    <w:rsid w:val="4EAD36BD"/>
    <w:rsid w:val="4EC714C5"/>
    <w:rsid w:val="4ED53276"/>
    <w:rsid w:val="4EDD1A33"/>
    <w:rsid w:val="4EE83149"/>
    <w:rsid w:val="4EF8618F"/>
    <w:rsid w:val="4EFC422E"/>
    <w:rsid w:val="4EFD67A5"/>
    <w:rsid w:val="4F087283"/>
    <w:rsid w:val="4F114FA6"/>
    <w:rsid w:val="4F1B316B"/>
    <w:rsid w:val="4F2B3E56"/>
    <w:rsid w:val="4F390904"/>
    <w:rsid w:val="4F493FAC"/>
    <w:rsid w:val="4F4B6B99"/>
    <w:rsid w:val="4F4C3B1A"/>
    <w:rsid w:val="4F5164F8"/>
    <w:rsid w:val="4F5E0C8B"/>
    <w:rsid w:val="4F65672B"/>
    <w:rsid w:val="4F670DEE"/>
    <w:rsid w:val="4F845CE5"/>
    <w:rsid w:val="4F8D0AFD"/>
    <w:rsid w:val="4F98568A"/>
    <w:rsid w:val="4F9E3853"/>
    <w:rsid w:val="4FA705AC"/>
    <w:rsid w:val="4FAF6665"/>
    <w:rsid w:val="4FB67AA7"/>
    <w:rsid w:val="4FBF4D0E"/>
    <w:rsid w:val="4FD5601C"/>
    <w:rsid w:val="4FEA1C48"/>
    <w:rsid w:val="4FF00523"/>
    <w:rsid w:val="4FF61900"/>
    <w:rsid w:val="4FF64BCD"/>
    <w:rsid w:val="4FF83991"/>
    <w:rsid w:val="4FFA6B6B"/>
    <w:rsid w:val="4FFE606F"/>
    <w:rsid w:val="50072FF9"/>
    <w:rsid w:val="50091A35"/>
    <w:rsid w:val="500D6355"/>
    <w:rsid w:val="50137AA7"/>
    <w:rsid w:val="501416C0"/>
    <w:rsid w:val="50183283"/>
    <w:rsid w:val="50353F64"/>
    <w:rsid w:val="503C2DBE"/>
    <w:rsid w:val="504423B7"/>
    <w:rsid w:val="505E4DD2"/>
    <w:rsid w:val="50747853"/>
    <w:rsid w:val="507E6DFC"/>
    <w:rsid w:val="50810CD2"/>
    <w:rsid w:val="50857F0A"/>
    <w:rsid w:val="50986CB2"/>
    <w:rsid w:val="50AE53CE"/>
    <w:rsid w:val="50B52D61"/>
    <w:rsid w:val="50B55E18"/>
    <w:rsid w:val="50C215D0"/>
    <w:rsid w:val="50C83062"/>
    <w:rsid w:val="50D15106"/>
    <w:rsid w:val="50DF215F"/>
    <w:rsid w:val="50EF04D4"/>
    <w:rsid w:val="5104571D"/>
    <w:rsid w:val="510D251D"/>
    <w:rsid w:val="51202BB3"/>
    <w:rsid w:val="51213EA0"/>
    <w:rsid w:val="51254745"/>
    <w:rsid w:val="512B4F46"/>
    <w:rsid w:val="51392439"/>
    <w:rsid w:val="51451BDD"/>
    <w:rsid w:val="51493227"/>
    <w:rsid w:val="514B36D4"/>
    <w:rsid w:val="51514B08"/>
    <w:rsid w:val="51755163"/>
    <w:rsid w:val="518D65ED"/>
    <w:rsid w:val="51A50A79"/>
    <w:rsid w:val="51A73107"/>
    <w:rsid w:val="51AF7588"/>
    <w:rsid w:val="51B21A86"/>
    <w:rsid w:val="51B61EDB"/>
    <w:rsid w:val="51B63455"/>
    <w:rsid w:val="51C100F1"/>
    <w:rsid w:val="51C32351"/>
    <w:rsid w:val="51CE5892"/>
    <w:rsid w:val="51CE715F"/>
    <w:rsid w:val="51D4070D"/>
    <w:rsid w:val="51E95387"/>
    <w:rsid w:val="51F00E34"/>
    <w:rsid w:val="51F36C7E"/>
    <w:rsid w:val="51F423CA"/>
    <w:rsid w:val="51FB7419"/>
    <w:rsid w:val="51FF42EF"/>
    <w:rsid w:val="52045A39"/>
    <w:rsid w:val="52122266"/>
    <w:rsid w:val="52182FBF"/>
    <w:rsid w:val="5219021A"/>
    <w:rsid w:val="521E3716"/>
    <w:rsid w:val="52231701"/>
    <w:rsid w:val="52275C27"/>
    <w:rsid w:val="522D6AE7"/>
    <w:rsid w:val="524A64E7"/>
    <w:rsid w:val="524B1004"/>
    <w:rsid w:val="525B3938"/>
    <w:rsid w:val="52617D6D"/>
    <w:rsid w:val="52A1386F"/>
    <w:rsid w:val="52A46DDC"/>
    <w:rsid w:val="52A66FD3"/>
    <w:rsid w:val="52AB6A8B"/>
    <w:rsid w:val="52AD0D5E"/>
    <w:rsid w:val="52C03763"/>
    <w:rsid w:val="52C707AF"/>
    <w:rsid w:val="52CD684A"/>
    <w:rsid w:val="52D51873"/>
    <w:rsid w:val="52F01549"/>
    <w:rsid w:val="52F60A26"/>
    <w:rsid w:val="530C4027"/>
    <w:rsid w:val="53147BC4"/>
    <w:rsid w:val="532418FC"/>
    <w:rsid w:val="532963D3"/>
    <w:rsid w:val="533C3784"/>
    <w:rsid w:val="533C4AC7"/>
    <w:rsid w:val="533D7E00"/>
    <w:rsid w:val="535C5C6B"/>
    <w:rsid w:val="53635FCE"/>
    <w:rsid w:val="53656282"/>
    <w:rsid w:val="53666A9E"/>
    <w:rsid w:val="536F227D"/>
    <w:rsid w:val="53837131"/>
    <w:rsid w:val="539A460D"/>
    <w:rsid w:val="53A875F7"/>
    <w:rsid w:val="53AB501A"/>
    <w:rsid w:val="53B10FEB"/>
    <w:rsid w:val="53B67693"/>
    <w:rsid w:val="53C029FE"/>
    <w:rsid w:val="53C0444F"/>
    <w:rsid w:val="53C60443"/>
    <w:rsid w:val="53C95F30"/>
    <w:rsid w:val="53E04B25"/>
    <w:rsid w:val="53E87EF1"/>
    <w:rsid w:val="53E91E11"/>
    <w:rsid w:val="53EB79BD"/>
    <w:rsid w:val="53F47EAF"/>
    <w:rsid w:val="540C6743"/>
    <w:rsid w:val="54103C7C"/>
    <w:rsid w:val="541A2C71"/>
    <w:rsid w:val="541C661E"/>
    <w:rsid w:val="542430F6"/>
    <w:rsid w:val="542450F5"/>
    <w:rsid w:val="54330541"/>
    <w:rsid w:val="544440CD"/>
    <w:rsid w:val="5450409C"/>
    <w:rsid w:val="54533879"/>
    <w:rsid w:val="545E6F4C"/>
    <w:rsid w:val="54760EC2"/>
    <w:rsid w:val="547C6054"/>
    <w:rsid w:val="548B791F"/>
    <w:rsid w:val="549A6A0C"/>
    <w:rsid w:val="54A020AB"/>
    <w:rsid w:val="54B45629"/>
    <w:rsid w:val="54B842CB"/>
    <w:rsid w:val="54D571C9"/>
    <w:rsid w:val="54DA4664"/>
    <w:rsid w:val="54E71C17"/>
    <w:rsid w:val="54EC3210"/>
    <w:rsid w:val="54F97935"/>
    <w:rsid w:val="550F714D"/>
    <w:rsid w:val="55173C55"/>
    <w:rsid w:val="55262CCC"/>
    <w:rsid w:val="55280B47"/>
    <w:rsid w:val="552B1A15"/>
    <w:rsid w:val="552C2781"/>
    <w:rsid w:val="55356D82"/>
    <w:rsid w:val="55366D78"/>
    <w:rsid w:val="55470D5B"/>
    <w:rsid w:val="55585BA2"/>
    <w:rsid w:val="557F345E"/>
    <w:rsid w:val="55854CC9"/>
    <w:rsid w:val="55876274"/>
    <w:rsid w:val="55993D50"/>
    <w:rsid w:val="559B79FD"/>
    <w:rsid w:val="55AA3E03"/>
    <w:rsid w:val="55B41242"/>
    <w:rsid w:val="55B568B4"/>
    <w:rsid w:val="55C2240A"/>
    <w:rsid w:val="55C34506"/>
    <w:rsid w:val="55CD1D94"/>
    <w:rsid w:val="55CE64A1"/>
    <w:rsid w:val="55D71FAE"/>
    <w:rsid w:val="55ED3CE8"/>
    <w:rsid w:val="56132A30"/>
    <w:rsid w:val="56133159"/>
    <w:rsid w:val="561917B6"/>
    <w:rsid w:val="562309A6"/>
    <w:rsid w:val="56326ED1"/>
    <w:rsid w:val="56351B73"/>
    <w:rsid w:val="56354FF4"/>
    <w:rsid w:val="5638134A"/>
    <w:rsid w:val="564C3B15"/>
    <w:rsid w:val="56525428"/>
    <w:rsid w:val="565902E6"/>
    <w:rsid w:val="565A4B1F"/>
    <w:rsid w:val="565E278A"/>
    <w:rsid w:val="56630C42"/>
    <w:rsid w:val="566C52F2"/>
    <w:rsid w:val="566D55C3"/>
    <w:rsid w:val="567965CC"/>
    <w:rsid w:val="568219C1"/>
    <w:rsid w:val="568251A9"/>
    <w:rsid w:val="5692764C"/>
    <w:rsid w:val="56A025EA"/>
    <w:rsid w:val="56B67CBA"/>
    <w:rsid w:val="56BB156B"/>
    <w:rsid w:val="56C10783"/>
    <w:rsid w:val="56C65E95"/>
    <w:rsid w:val="56F81154"/>
    <w:rsid w:val="56FD0E35"/>
    <w:rsid w:val="56FD79B0"/>
    <w:rsid w:val="571D0BAC"/>
    <w:rsid w:val="57291ECC"/>
    <w:rsid w:val="57332891"/>
    <w:rsid w:val="5735133E"/>
    <w:rsid w:val="5744527E"/>
    <w:rsid w:val="57593985"/>
    <w:rsid w:val="576035F1"/>
    <w:rsid w:val="5788753C"/>
    <w:rsid w:val="579F52E9"/>
    <w:rsid w:val="57AA1A20"/>
    <w:rsid w:val="57B24964"/>
    <w:rsid w:val="57B362D3"/>
    <w:rsid w:val="57B87B07"/>
    <w:rsid w:val="57BF4027"/>
    <w:rsid w:val="57C21656"/>
    <w:rsid w:val="57C27863"/>
    <w:rsid w:val="57C4739A"/>
    <w:rsid w:val="57C80009"/>
    <w:rsid w:val="57CF58AC"/>
    <w:rsid w:val="57D767F2"/>
    <w:rsid w:val="57DD621B"/>
    <w:rsid w:val="57EA0E5F"/>
    <w:rsid w:val="57EB0A8E"/>
    <w:rsid w:val="57EC4491"/>
    <w:rsid w:val="57F119D4"/>
    <w:rsid w:val="57F97897"/>
    <w:rsid w:val="580369F7"/>
    <w:rsid w:val="580D1223"/>
    <w:rsid w:val="581C24B0"/>
    <w:rsid w:val="581C6F05"/>
    <w:rsid w:val="58261358"/>
    <w:rsid w:val="58275A08"/>
    <w:rsid w:val="583E25FF"/>
    <w:rsid w:val="5846266A"/>
    <w:rsid w:val="584A5E1C"/>
    <w:rsid w:val="584E7E62"/>
    <w:rsid w:val="58561D78"/>
    <w:rsid w:val="585D02B1"/>
    <w:rsid w:val="58626209"/>
    <w:rsid w:val="58667829"/>
    <w:rsid w:val="586C28AE"/>
    <w:rsid w:val="5879080A"/>
    <w:rsid w:val="588839AD"/>
    <w:rsid w:val="58885D43"/>
    <w:rsid w:val="589E6762"/>
    <w:rsid w:val="58A52897"/>
    <w:rsid w:val="58A55427"/>
    <w:rsid w:val="58B52268"/>
    <w:rsid w:val="58C54A50"/>
    <w:rsid w:val="58CF5A19"/>
    <w:rsid w:val="58D75B50"/>
    <w:rsid w:val="58D853BE"/>
    <w:rsid w:val="58D96511"/>
    <w:rsid w:val="58EA067C"/>
    <w:rsid w:val="590001EF"/>
    <w:rsid w:val="59041309"/>
    <w:rsid w:val="590B41FD"/>
    <w:rsid w:val="590D5E32"/>
    <w:rsid w:val="592A587C"/>
    <w:rsid w:val="59315AF5"/>
    <w:rsid w:val="5933451B"/>
    <w:rsid w:val="593B4A9A"/>
    <w:rsid w:val="593B619D"/>
    <w:rsid w:val="593D663F"/>
    <w:rsid w:val="593E60A8"/>
    <w:rsid w:val="59546D14"/>
    <w:rsid w:val="59557236"/>
    <w:rsid w:val="59565515"/>
    <w:rsid w:val="595657F6"/>
    <w:rsid w:val="595860A3"/>
    <w:rsid w:val="596842D4"/>
    <w:rsid w:val="596B2E85"/>
    <w:rsid w:val="59725657"/>
    <w:rsid w:val="598D639D"/>
    <w:rsid w:val="5992097A"/>
    <w:rsid w:val="59A056AD"/>
    <w:rsid w:val="59A74A3B"/>
    <w:rsid w:val="59B56AFD"/>
    <w:rsid w:val="59CA2E90"/>
    <w:rsid w:val="59CA3776"/>
    <w:rsid w:val="59D407B4"/>
    <w:rsid w:val="59DC4A89"/>
    <w:rsid w:val="59FC2D7F"/>
    <w:rsid w:val="5A0563DB"/>
    <w:rsid w:val="5A0964C3"/>
    <w:rsid w:val="5A0F72F7"/>
    <w:rsid w:val="5A1822DC"/>
    <w:rsid w:val="5A1931BF"/>
    <w:rsid w:val="5A210582"/>
    <w:rsid w:val="5A215C36"/>
    <w:rsid w:val="5A2837E5"/>
    <w:rsid w:val="5A2B1B3A"/>
    <w:rsid w:val="5A2E4C4F"/>
    <w:rsid w:val="5A2F2D4E"/>
    <w:rsid w:val="5A305D66"/>
    <w:rsid w:val="5A340293"/>
    <w:rsid w:val="5A385171"/>
    <w:rsid w:val="5A3E1249"/>
    <w:rsid w:val="5A4648B3"/>
    <w:rsid w:val="5A467E04"/>
    <w:rsid w:val="5A472883"/>
    <w:rsid w:val="5A4921C5"/>
    <w:rsid w:val="5A6750BA"/>
    <w:rsid w:val="5A6A42E9"/>
    <w:rsid w:val="5A72772D"/>
    <w:rsid w:val="5A74390B"/>
    <w:rsid w:val="5A763DFE"/>
    <w:rsid w:val="5A7E3465"/>
    <w:rsid w:val="5A7F7B69"/>
    <w:rsid w:val="5A8C6174"/>
    <w:rsid w:val="5A921CE0"/>
    <w:rsid w:val="5A92735D"/>
    <w:rsid w:val="5A97788F"/>
    <w:rsid w:val="5AA92A8D"/>
    <w:rsid w:val="5AAC1E29"/>
    <w:rsid w:val="5AC42861"/>
    <w:rsid w:val="5AC56360"/>
    <w:rsid w:val="5AD411E5"/>
    <w:rsid w:val="5AD734F6"/>
    <w:rsid w:val="5AE027F4"/>
    <w:rsid w:val="5AEC007E"/>
    <w:rsid w:val="5AEC63C2"/>
    <w:rsid w:val="5AF20341"/>
    <w:rsid w:val="5AF53BAF"/>
    <w:rsid w:val="5B171360"/>
    <w:rsid w:val="5B2052F8"/>
    <w:rsid w:val="5B2573D0"/>
    <w:rsid w:val="5B2701AE"/>
    <w:rsid w:val="5B30541F"/>
    <w:rsid w:val="5B3918E8"/>
    <w:rsid w:val="5B43776E"/>
    <w:rsid w:val="5B446B74"/>
    <w:rsid w:val="5B452AE0"/>
    <w:rsid w:val="5B5637EF"/>
    <w:rsid w:val="5B5B1C5E"/>
    <w:rsid w:val="5B611D00"/>
    <w:rsid w:val="5B6C7216"/>
    <w:rsid w:val="5B7204C5"/>
    <w:rsid w:val="5B831F15"/>
    <w:rsid w:val="5B9006B8"/>
    <w:rsid w:val="5B984693"/>
    <w:rsid w:val="5BA3686C"/>
    <w:rsid w:val="5BAB30A1"/>
    <w:rsid w:val="5BBF51BB"/>
    <w:rsid w:val="5BC02F60"/>
    <w:rsid w:val="5BC60E6D"/>
    <w:rsid w:val="5BC6362D"/>
    <w:rsid w:val="5BCE3191"/>
    <w:rsid w:val="5BDE4F59"/>
    <w:rsid w:val="5BF12B13"/>
    <w:rsid w:val="5BF7270C"/>
    <w:rsid w:val="5C002288"/>
    <w:rsid w:val="5C0355AE"/>
    <w:rsid w:val="5C245336"/>
    <w:rsid w:val="5C2E2C80"/>
    <w:rsid w:val="5C313B14"/>
    <w:rsid w:val="5C336C9D"/>
    <w:rsid w:val="5C381617"/>
    <w:rsid w:val="5C3C35F1"/>
    <w:rsid w:val="5C3D5F29"/>
    <w:rsid w:val="5C413B2E"/>
    <w:rsid w:val="5C44623F"/>
    <w:rsid w:val="5C48533C"/>
    <w:rsid w:val="5C495172"/>
    <w:rsid w:val="5C4F017F"/>
    <w:rsid w:val="5C516F3D"/>
    <w:rsid w:val="5C52453C"/>
    <w:rsid w:val="5C535A4D"/>
    <w:rsid w:val="5C582227"/>
    <w:rsid w:val="5C5C1F2F"/>
    <w:rsid w:val="5C623905"/>
    <w:rsid w:val="5C733B7A"/>
    <w:rsid w:val="5C7C2463"/>
    <w:rsid w:val="5C84564F"/>
    <w:rsid w:val="5C8A40CA"/>
    <w:rsid w:val="5C9A368C"/>
    <w:rsid w:val="5C9B3BA0"/>
    <w:rsid w:val="5CA22968"/>
    <w:rsid w:val="5CB97D9B"/>
    <w:rsid w:val="5CC73299"/>
    <w:rsid w:val="5CCC32EF"/>
    <w:rsid w:val="5CCD3336"/>
    <w:rsid w:val="5CD132AA"/>
    <w:rsid w:val="5CD842EB"/>
    <w:rsid w:val="5CE417A5"/>
    <w:rsid w:val="5CE87E2D"/>
    <w:rsid w:val="5D054435"/>
    <w:rsid w:val="5D08616A"/>
    <w:rsid w:val="5D091EA0"/>
    <w:rsid w:val="5D0B3F1F"/>
    <w:rsid w:val="5D137CB4"/>
    <w:rsid w:val="5D154877"/>
    <w:rsid w:val="5D1A09E3"/>
    <w:rsid w:val="5D1B5C8C"/>
    <w:rsid w:val="5D1F4125"/>
    <w:rsid w:val="5D2055CB"/>
    <w:rsid w:val="5D234589"/>
    <w:rsid w:val="5D274839"/>
    <w:rsid w:val="5D2B520A"/>
    <w:rsid w:val="5D2D4F4B"/>
    <w:rsid w:val="5D346ECD"/>
    <w:rsid w:val="5D394590"/>
    <w:rsid w:val="5D3E41B2"/>
    <w:rsid w:val="5D3E763D"/>
    <w:rsid w:val="5D3F0728"/>
    <w:rsid w:val="5D456A03"/>
    <w:rsid w:val="5D486B4A"/>
    <w:rsid w:val="5D4E159F"/>
    <w:rsid w:val="5D545731"/>
    <w:rsid w:val="5D551E98"/>
    <w:rsid w:val="5D557CB0"/>
    <w:rsid w:val="5D57045D"/>
    <w:rsid w:val="5D5D2345"/>
    <w:rsid w:val="5D6B0B4B"/>
    <w:rsid w:val="5D7E56B1"/>
    <w:rsid w:val="5D836716"/>
    <w:rsid w:val="5D8D56E2"/>
    <w:rsid w:val="5D9759EE"/>
    <w:rsid w:val="5D9857D4"/>
    <w:rsid w:val="5D9B2F70"/>
    <w:rsid w:val="5DA35475"/>
    <w:rsid w:val="5DA616C9"/>
    <w:rsid w:val="5DAC2210"/>
    <w:rsid w:val="5DB27280"/>
    <w:rsid w:val="5DBB6216"/>
    <w:rsid w:val="5DBD0787"/>
    <w:rsid w:val="5DC569FF"/>
    <w:rsid w:val="5DC908F3"/>
    <w:rsid w:val="5DD37CB5"/>
    <w:rsid w:val="5DE73DDC"/>
    <w:rsid w:val="5DF41444"/>
    <w:rsid w:val="5DF778E8"/>
    <w:rsid w:val="5E033537"/>
    <w:rsid w:val="5E062CBE"/>
    <w:rsid w:val="5E113A62"/>
    <w:rsid w:val="5E14405F"/>
    <w:rsid w:val="5E2B1E77"/>
    <w:rsid w:val="5E2C4771"/>
    <w:rsid w:val="5E3C057B"/>
    <w:rsid w:val="5E3C31D9"/>
    <w:rsid w:val="5E3C45E4"/>
    <w:rsid w:val="5E3E4488"/>
    <w:rsid w:val="5E4603C0"/>
    <w:rsid w:val="5E526164"/>
    <w:rsid w:val="5E600BFE"/>
    <w:rsid w:val="5E6E743B"/>
    <w:rsid w:val="5E706D4F"/>
    <w:rsid w:val="5E7B41B9"/>
    <w:rsid w:val="5E841C92"/>
    <w:rsid w:val="5E861C22"/>
    <w:rsid w:val="5E9138D7"/>
    <w:rsid w:val="5EAD3592"/>
    <w:rsid w:val="5EAF786C"/>
    <w:rsid w:val="5EB03B40"/>
    <w:rsid w:val="5EB10EA4"/>
    <w:rsid w:val="5EC22FEF"/>
    <w:rsid w:val="5EC241B1"/>
    <w:rsid w:val="5EC24BE7"/>
    <w:rsid w:val="5ED95E91"/>
    <w:rsid w:val="5EDE5631"/>
    <w:rsid w:val="5EEE7251"/>
    <w:rsid w:val="5EF36665"/>
    <w:rsid w:val="5EF37A12"/>
    <w:rsid w:val="5F0719B9"/>
    <w:rsid w:val="5F0A3A81"/>
    <w:rsid w:val="5F0D4543"/>
    <w:rsid w:val="5F0F5532"/>
    <w:rsid w:val="5F183036"/>
    <w:rsid w:val="5F2A0D3C"/>
    <w:rsid w:val="5F363F67"/>
    <w:rsid w:val="5F400767"/>
    <w:rsid w:val="5F42005A"/>
    <w:rsid w:val="5F4A4FC8"/>
    <w:rsid w:val="5F506F76"/>
    <w:rsid w:val="5F5C0BD4"/>
    <w:rsid w:val="5F654BEA"/>
    <w:rsid w:val="5F664C1A"/>
    <w:rsid w:val="5F76106F"/>
    <w:rsid w:val="5F9B5545"/>
    <w:rsid w:val="5FB6521D"/>
    <w:rsid w:val="5FCC20ED"/>
    <w:rsid w:val="5FCE2CDC"/>
    <w:rsid w:val="5FD12929"/>
    <w:rsid w:val="5FE11580"/>
    <w:rsid w:val="5FEB6EB1"/>
    <w:rsid w:val="5FEF49E1"/>
    <w:rsid w:val="60010ED7"/>
    <w:rsid w:val="6012170E"/>
    <w:rsid w:val="60136FF5"/>
    <w:rsid w:val="6016476A"/>
    <w:rsid w:val="60210E92"/>
    <w:rsid w:val="60234FFB"/>
    <w:rsid w:val="60285DD8"/>
    <w:rsid w:val="602A009F"/>
    <w:rsid w:val="602B31B5"/>
    <w:rsid w:val="6048761B"/>
    <w:rsid w:val="604E698D"/>
    <w:rsid w:val="605029A7"/>
    <w:rsid w:val="60560922"/>
    <w:rsid w:val="60612A25"/>
    <w:rsid w:val="60660F80"/>
    <w:rsid w:val="60676F42"/>
    <w:rsid w:val="60695C07"/>
    <w:rsid w:val="60793C59"/>
    <w:rsid w:val="607B71C7"/>
    <w:rsid w:val="607F5734"/>
    <w:rsid w:val="6088177A"/>
    <w:rsid w:val="60963C27"/>
    <w:rsid w:val="609D445C"/>
    <w:rsid w:val="60A52548"/>
    <w:rsid w:val="60A763EC"/>
    <w:rsid w:val="60AC4421"/>
    <w:rsid w:val="60AD05B5"/>
    <w:rsid w:val="60DF74CF"/>
    <w:rsid w:val="60E95BD4"/>
    <w:rsid w:val="60EB7FAE"/>
    <w:rsid w:val="60F23486"/>
    <w:rsid w:val="60FD10C2"/>
    <w:rsid w:val="612162D7"/>
    <w:rsid w:val="61321D17"/>
    <w:rsid w:val="6134440E"/>
    <w:rsid w:val="614E2278"/>
    <w:rsid w:val="615433FD"/>
    <w:rsid w:val="615A0544"/>
    <w:rsid w:val="615A2C7B"/>
    <w:rsid w:val="615B6284"/>
    <w:rsid w:val="61692AA8"/>
    <w:rsid w:val="61693D4C"/>
    <w:rsid w:val="61786BB6"/>
    <w:rsid w:val="6187744A"/>
    <w:rsid w:val="61B936B7"/>
    <w:rsid w:val="61BE1F75"/>
    <w:rsid w:val="61BE2C1C"/>
    <w:rsid w:val="61C55B89"/>
    <w:rsid w:val="61C768C4"/>
    <w:rsid w:val="61D40811"/>
    <w:rsid w:val="61E8196E"/>
    <w:rsid w:val="61EF74EE"/>
    <w:rsid w:val="61F136DD"/>
    <w:rsid w:val="61F335A4"/>
    <w:rsid w:val="61F71367"/>
    <w:rsid w:val="62003C51"/>
    <w:rsid w:val="6200436A"/>
    <w:rsid w:val="62012E49"/>
    <w:rsid w:val="621B3D12"/>
    <w:rsid w:val="62273403"/>
    <w:rsid w:val="622D4DC3"/>
    <w:rsid w:val="622F4EB0"/>
    <w:rsid w:val="623F35B8"/>
    <w:rsid w:val="62434300"/>
    <w:rsid w:val="626210FA"/>
    <w:rsid w:val="6269287F"/>
    <w:rsid w:val="626B1032"/>
    <w:rsid w:val="626E2433"/>
    <w:rsid w:val="62764165"/>
    <w:rsid w:val="62863FFB"/>
    <w:rsid w:val="62A5087E"/>
    <w:rsid w:val="62BE4D41"/>
    <w:rsid w:val="62C215BB"/>
    <w:rsid w:val="62D24209"/>
    <w:rsid w:val="62D76666"/>
    <w:rsid w:val="62DC3F11"/>
    <w:rsid w:val="62DC69EF"/>
    <w:rsid w:val="62DE157A"/>
    <w:rsid w:val="62E50AE5"/>
    <w:rsid w:val="62E5443B"/>
    <w:rsid w:val="62ED4900"/>
    <w:rsid w:val="62F74671"/>
    <w:rsid w:val="63063F7F"/>
    <w:rsid w:val="63142F95"/>
    <w:rsid w:val="6317738B"/>
    <w:rsid w:val="631D1F5F"/>
    <w:rsid w:val="63201FCC"/>
    <w:rsid w:val="63230189"/>
    <w:rsid w:val="634A16DE"/>
    <w:rsid w:val="634A3B54"/>
    <w:rsid w:val="634E6BC8"/>
    <w:rsid w:val="63585E05"/>
    <w:rsid w:val="635F6437"/>
    <w:rsid w:val="63746247"/>
    <w:rsid w:val="63791170"/>
    <w:rsid w:val="638237B5"/>
    <w:rsid w:val="638309D7"/>
    <w:rsid w:val="638704E8"/>
    <w:rsid w:val="63901888"/>
    <w:rsid w:val="63AD1BB5"/>
    <w:rsid w:val="63B54A6D"/>
    <w:rsid w:val="63BB5205"/>
    <w:rsid w:val="63C63B89"/>
    <w:rsid w:val="63CA3721"/>
    <w:rsid w:val="63CF369E"/>
    <w:rsid w:val="63DA7C07"/>
    <w:rsid w:val="63DC0090"/>
    <w:rsid w:val="63F33E6F"/>
    <w:rsid w:val="640B0D2C"/>
    <w:rsid w:val="6413787C"/>
    <w:rsid w:val="64235D7C"/>
    <w:rsid w:val="6428499B"/>
    <w:rsid w:val="642946E2"/>
    <w:rsid w:val="64430842"/>
    <w:rsid w:val="644A2FC3"/>
    <w:rsid w:val="64553628"/>
    <w:rsid w:val="645879CC"/>
    <w:rsid w:val="645A71DB"/>
    <w:rsid w:val="645B7339"/>
    <w:rsid w:val="645D0F74"/>
    <w:rsid w:val="64686234"/>
    <w:rsid w:val="64704656"/>
    <w:rsid w:val="64781904"/>
    <w:rsid w:val="647C0AD8"/>
    <w:rsid w:val="647D08A2"/>
    <w:rsid w:val="64891C99"/>
    <w:rsid w:val="648D5FB4"/>
    <w:rsid w:val="649549D9"/>
    <w:rsid w:val="649816D3"/>
    <w:rsid w:val="649A6F61"/>
    <w:rsid w:val="64A61B86"/>
    <w:rsid w:val="64AE28D5"/>
    <w:rsid w:val="64E12DBC"/>
    <w:rsid w:val="64E9342E"/>
    <w:rsid w:val="64EA5CAD"/>
    <w:rsid w:val="64F00AC3"/>
    <w:rsid w:val="64FA260B"/>
    <w:rsid w:val="65042B41"/>
    <w:rsid w:val="650E3EC0"/>
    <w:rsid w:val="651D3430"/>
    <w:rsid w:val="65412D5D"/>
    <w:rsid w:val="65533CE1"/>
    <w:rsid w:val="655569DE"/>
    <w:rsid w:val="655A3812"/>
    <w:rsid w:val="655E2F39"/>
    <w:rsid w:val="65746812"/>
    <w:rsid w:val="65833908"/>
    <w:rsid w:val="6593047C"/>
    <w:rsid w:val="65940B6D"/>
    <w:rsid w:val="65946FD6"/>
    <w:rsid w:val="65A34B7B"/>
    <w:rsid w:val="65A936D2"/>
    <w:rsid w:val="65AE302D"/>
    <w:rsid w:val="65B0052C"/>
    <w:rsid w:val="65C32DA7"/>
    <w:rsid w:val="65D320AF"/>
    <w:rsid w:val="65D41173"/>
    <w:rsid w:val="65D45E64"/>
    <w:rsid w:val="65D4635E"/>
    <w:rsid w:val="65E1362C"/>
    <w:rsid w:val="66002F15"/>
    <w:rsid w:val="661158C2"/>
    <w:rsid w:val="661256A8"/>
    <w:rsid w:val="661D751E"/>
    <w:rsid w:val="662A44F8"/>
    <w:rsid w:val="663D61FD"/>
    <w:rsid w:val="663E3082"/>
    <w:rsid w:val="664164A2"/>
    <w:rsid w:val="66482CC2"/>
    <w:rsid w:val="664B74A0"/>
    <w:rsid w:val="66502339"/>
    <w:rsid w:val="665F1E63"/>
    <w:rsid w:val="665F55E3"/>
    <w:rsid w:val="666B0A89"/>
    <w:rsid w:val="66770E03"/>
    <w:rsid w:val="66802D07"/>
    <w:rsid w:val="668449FF"/>
    <w:rsid w:val="66A50FEA"/>
    <w:rsid w:val="66A729E1"/>
    <w:rsid w:val="66B97CEB"/>
    <w:rsid w:val="66BA5DB0"/>
    <w:rsid w:val="66C61A92"/>
    <w:rsid w:val="66CA23B0"/>
    <w:rsid w:val="66D50BE3"/>
    <w:rsid w:val="66EA166E"/>
    <w:rsid w:val="66ED1909"/>
    <w:rsid w:val="66F06DCB"/>
    <w:rsid w:val="6719222D"/>
    <w:rsid w:val="67193C0E"/>
    <w:rsid w:val="671D3F62"/>
    <w:rsid w:val="674A0726"/>
    <w:rsid w:val="674F6275"/>
    <w:rsid w:val="67572436"/>
    <w:rsid w:val="675A1F70"/>
    <w:rsid w:val="675A71B0"/>
    <w:rsid w:val="6775356E"/>
    <w:rsid w:val="678A0307"/>
    <w:rsid w:val="6794152B"/>
    <w:rsid w:val="67997480"/>
    <w:rsid w:val="679A3302"/>
    <w:rsid w:val="679F477A"/>
    <w:rsid w:val="67A01AF3"/>
    <w:rsid w:val="67A03B63"/>
    <w:rsid w:val="67A052D7"/>
    <w:rsid w:val="67A576DC"/>
    <w:rsid w:val="67A768FF"/>
    <w:rsid w:val="67A96B69"/>
    <w:rsid w:val="67B14F26"/>
    <w:rsid w:val="67B51D8E"/>
    <w:rsid w:val="67B7306D"/>
    <w:rsid w:val="67CA0225"/>
    <w:rsid w:val="67CA1933"/>
    <w:rsid w:val="67D31C5E"/>
    <w:rsid w:val="67D43B1C"/>
    <w:rsid w:val="67D51ED8"/>
    <w:rsid w:val="67D80A56"/>
    <w:rsid w:val="67EA24EF"/>
    <w:rsid w:val="67F437C4"/>
    <w:rsid w:val="67F64AC2"/>
    <w:rsid w:val="67F8617B"/>
    <w:rsid w:val="68101C49"/>
    <w:rsid w:val="6811059D"/>
    <w:rsid w:val="68113EFF"/>
    <w:rsid w:val="68155B80"/>
    <w:rsid w:val="68166F56"/>
    <w:rsid w:val="68174FB4"/>
    <w:rsid w:val="681A4C79"/>
    <w:rsid w:val="681E1FCE"/>
    <w:rsid w:val="681F6CB1"/>
    <w:rsid w:val="6833284A"/>
    <w:rsid w:val="683E4EE1"/>
    <w:rsid w:val="686A1F37"/>
    <w:rsid w:val="6870581B"/>
    <w:rsid w:val="687C2BA0"/>
    <w:rsid w:val="688E4747"/>
    <w:rsid w:val="68930F7C"/>
    <w:rsid w:val="68A66438"/>
    <w:rsid w:val="68AB58F0"/>
    <w:rsid w:val="68AB5C5C"/>
    <w:rsid w:val="68BA5327"/>
    <w:rsid w:val="68D10316"/>
    <w:rsid w:val="68D82133"/>
    <w:rsid w:val="68DC634A"/>
    <w:rsid w:val="68DD612A"/>
    <w:rsid w:val="68E55B92"/>
    <w:rsid w:val="68E82DF9"/>
    <w:rsid w:val="69036E9F"/>
    <w:rsid w:val="691969EE"/>
    <w:rsid w:val="691A7246"/>
    <w:rsid w:val="69262EE6"/>
    <w:rsid w:val="692658F1"/>
    <w:rsid w:val="69277B6A"/>
    <w:rsid w:val="692924A9"/>
    <w:rsid w:val="692C123F"/>
    <w:rsid w:val="6938224E"/>
    <w:rsid w:val="693B0B3B"/>
    <w:rsid w:val="693D74E3"/>
    <w:rsid w:val="694814C2"/>
    <w:rsid w:val="694C289A"/>
    <w:rsid w:val="694C75F9"/>
    <w:rsid w:val="69566E5F"/>
    <w:rsid w:val="697718BA"/>
    <w:rsid w:val="697F6A3A"/>
    <w:rsid w:val="69897B92"/>
    <w:rsid w:val="698A4762"/>
    <w:rsid w:val="698F1268"/>
    <w:rsid w:val="69A91C87"/>
    <w:rsid w:val="69B1710E"/>
    <w:rsid w:val="69B72FF2"/>
    <w:rsid w:val="69C50BCA"/>
    <w:rsid w:val="69CC532C"/>
    <w:rsid w:val="69CD773B"/>
    <w:rsid w:val="69D025F8"/>
    <w:rsid w:val="69F5484E"/>
    <w:rsid w:val="69F948B0"/>
    <w:rsid w:val="6A056D67"/>
    <w:rsid w:val="6A0819D1"/>
    <w:rsid w:val="6A1751BE"/>
    <w:rsid w:val="6A3413C5"/>
    <w:rsid w:val="6A54020D"/>
    <w:rsid w:val="6A542505"/>
    <w:rsid w:val="6A5E1D28"/>
    <w:rsid w:val="6A602BD2"/>
    <w:rsid w:val="6A62675F"/>
    <w:rsid w:val="6A8744C9"/>
    <w:rsid w:val="6A9328AC"/>
    <w:rsid w:val="6AA14706"/>
    <w:rsid w:val="6AA95D6F"/>
    <w:rsid w:val="6AB76C34"/>
    <w:rsid w:val="6AC824FB"/>
    <w:rsid w:val="6ACD1783"/>
    <w:rsid w:val="6AD22DA5"/>
    <w:rsid w:val="6AE47EB1"/>
    <w:rsid w:val="6AE7318F"/>
    <w:rsid w:val="6AEF68B5"/>
    <w:rsid w:val="6AF40FB3"/>
    <w:rsid w:val="6AF81876"/>
    <w:rsid w:val="6AF90A25"/>
    <w:rsid w:val="6AFE2039"/>
    <w:rsid w:val="6B1F35A4"/>
    <w:rsid w:val="6B2545DA"/>
    <w:rsid w:val="6B2D7703"/>
    <w:rsid w:val="6B3B4A03"/>
    <w:rsid w:val="6B517FFE"/>
    <w:rsid w:val="6B586EEE"/>
    <w:rsid w:val="6B632E69"/>
    <w:rsid w:val="6B6B0C7E"/>
    <w:rsid w:val="6B863949"/>
    <w:rsid w:val="6B9C7799"/>
    <w:rsid w:val="6BAB0AAB"/>
    <w:rsid w:val="6BCF01AD"/>
    <w:rsid w:val="6BCF4E7E"/>
    <w:rsid w:val="6BD25D5B"/>
    <w:rsid w:val="6BD36603"/>
    <w:rsid w:val="6BF0128E"/>
    <w:rsid w:val="6BFB4FB8"/>
    <w:rsid w:val="6BFD31FE"/>
    <w:rsid w:val="6C06515E"/>
    <w:rsid w:val="6C0B184D"/>
    <w:rsid w:val="6C0B6B2A"/>
    <w:rsid w:val="6C0C44A5"/>
    <w:rsid w:val="6C123C0C"/>
    <w:rsid w:val="6C221D6D"/>
    <w:rsid w:val="6C261B9C"/>
    <w:rsid w:val="6C2D1BBB"/>
    <w:rsid w:val="6C2E10B0"/>
    <w:rsid w:val="6C370BC0"/>
    <w:rsid w:val="6C3A2906"/>
    <w:rsid w:val="6C470BB0"/>
    <w:rsid w:val="6C4912BB"/>
    <w:rsid w:val="6C660F2F"/>
    <w:rsid w:val="6C681813"/>
    <w:rsid w:val="6C6A5FB5"/>
    <w:rsid w:val="6C6B1DFA"/>
    <w:rsid w:val="6C6C7766"/>
    <w:rsid w:val="6C6D7CC8"/>
    <w:rsid w:val="6C704F03"/>
    <w:rsid w:val="6C780152"/>
    <w:rsid w:val="6C7E73FF"/>
    <w:rsid w:val="6C7F08A6"/>
    <w:rsid w:val="6C8A605F"/>
    <w:rsid w:val="6C8C4E7C"/>
    <w:rsid w:val="6C8D46EF"/>
    <w:rsid w:val="6C912BD2"/>
    <w:rsid w:val="6C9A358D"/>
    <w:rsid w:val="6C9F1232"/>
    <w:rsid w:val="6CA153BE"/>
    <w:rsid w:val="6CA54658"/>
    <w:rsid w:val="6CAB47C5"/>
    <w:rsid w:val="6CAC2E91"/>
    <w:rsid w:val="6CAE092F"/>
    <w:rsid w:val="6CB421DD"/>
    <w:rsid w:val="6CCB18F9"/>
    <w:rsid w:val="6CDA2A29"/>
    <w:rsid w:val="6CE022C9"/>
    <w:rsid w:val="6CE42ACF"/>
    <w:rsid w:val="6CE47E82"/>
    <w:rsid w:val="6CED15B1"/>
    <w:rsid w:val="6CF14E96"/>
    <w:rsid w:val="6CF20672"/>
    <w:rsid w:val="6CF527DB"/>
    <w:rsid w:val="6CF54923"/>
    <w:rsid w:val="6CFC050D"/>
    <w:rsid w:val="6D0C0028"/>
    <w:rsid w:val="6D1031E9"/>
    <w:rsid w:val="6D1D41C1"/>
    <w:rsid w:val="6D1E1E2E"/>
    <w:rsid w:val="6D2205BA"/>
    <w:rsid w:val="6D2E5DFF"/>
    <w:rsid w:val="6D3900AE"/>
    <w:rsid w:val="6D4750C9"/>
    <w:rsid w:val="6D4A2E15"/>
    <w:rsid w:val="6D6B5F4A"/>
    <w:rsid w:val="6D750D3C"/>
    <w:rsid w:val="6D783584"/>
    <w:rsid w:val="6D7B6D01"/>
    <w:rsid w:val="6D7E7733"/>
    <w:rsid w:val="6D992E99"/>
    <w:rsid w:val="6DA27F73"/>
    <w:rsid w:val="6DA32A11"/>
    <w:rsid w:val="6DBC097C"/>
    <w:rsid w:val="6DC2054C"/>
    <w:rsid w:val="6DC3685D"/>
    <w:rsid w:val="6DC57B88"/>
    <w:rsid w:val="6DD75C06"/>
    <w:rsid w:val="6DE07003"/>
    <w:rsid w:val="6DE72E7D"/>
    <w:rsid w:val="6DEC59FA"/>
    <w:rsid w:val="6DF47B34"/>
    <w:rsid w:val="6E1035D4"/>
    <w:rsid w:val="6E213B70"/>
    <w:rsid w:val="6E220770"/>
    <w:rsid w:val="6E2553AC"/>
    <w:rsid w:val="6E2E12B8"/>
    <w:rsid w:val="6E2F5836"/>
    <w:rsid w:val="6E2F781C"/>
    <w:rsid w:val="6E3C24D0"/>
    <w:rsid w:val="6E45504F"/>
    <w:rsid w:val="6E48418F"/>
    <w:rsid w:val="6E4842A4"/>
    <w:rsid w:val="6E4875A0"/>
    <w:rsid w:val="6E4A3E36"/>
    <w:rsid w:val="6E4B2E34"/>
    <w:rsid w:val="6E4C1B69"/>
    <w:rsid w:val="6E502E46"/>
    <w:rsid w:val="6E5751D8"/>
    <w:rsid w:val="6E63129B"/>
    <w:rsid w:val="6E725682"/>
    <w:rsid w:val="6E7460A6"/>
    <w:rsid w:val="6E7637FE"/>
    <w:rsid w:val="6E7708A0"/>
    <w:rsid w:val="6E7D1CC4"/>
    <w:rsid w:val="6E8A2C2C"/>
    <w:rsid w:val="6E96213B"/>
    <w:rsid w:val="6E9803CB"/>
    <w:rsid w:val="6EA30629"/>
    <w:rsid w:val="6EA41BD7"/>
    <w:rsid w:val="6EA82514"/>
    <w:rsid w:val="6EB97C36"/>
    <w:rsid w:val="6EE62F3A"/>
    <w:rsid w:val="6EF448A6"/>
    <w:rsid w:val="6EFE48E3"/>
    <w:rsid w:val="6F0204B2"/>
    <w:rsid w:val="6F135502"/>
    <w:rsid w:val="6F160BAB"/>
    <w:rsid w:val="6F1A6E8E"/>
    <w:rsid w:val="6F256035"/>
    <w:rsid w:val="6F274A57"/>
    <w:rsid w:val="6F3A220F"/>
    <w:rsid w:val="6F3B1E5F"/>
    <w:rsid w:val="6F3C1F62"/>
    <w:rsid w:val="6F425C42"/>
    <w:rsid w:val="6F484122"/>
    <w:rsid w:val="6F515F1C"/>
    <w:rsid w:val="6F5663A0"/>
    <w:rsid w:val="6F5D771F"/>
    <w:rsid w:val="6F5E5E11"/>
    <w:rsid w:val="6F604A60"/>
    <w:rsid w:val="6F664304"/>
    <w:rsid w:val="6F6B554B"/>
    <w:rsid w:val="6F6D1481"/>
    <w:rsid w:val="6F6D1AC3"/>
    <w:rsid w:val="6F78652A"/>
    <w:rsid w:val="6F7A36E2"/>
    <w:rsid w:val="6F7D4AC0"/>
    <w:rsid w:val="6F7E1E42"/>
    <w:rsid w:val="6F895F76"/>
    <w:rsid w:val="6FA16CF2"/>
    <w:rsid w:val="6FA20C8F"/>
    <w:rsid w:val="6FA4217B"/>
    <w:rsid w:val="6FAB58FF"/>
    <w:rsid w:val="6FB72A84"/>
    <w:rsid w:val="6FB96139"/>
    <w:rsid w:val="6FC076C9"/>
    <w:rsid w:val="6FC83C60"/>
    <w:rsid w:val="6FC90539"/>
    <w:rsid w:val="6FCB292F"/>
    <w:rsid w:val="6FD07B7A"/>
    <w:rsid w:val="6FD22B36"/>
    <w:rsid w:val="6FD56794"/>
    <w:rsid w:val="6FD861DD"/>
    <w:rsid w:val="6FEF2690"/>
    <w:rsid w:val="6FF3632F"/>
    <w:rsid w:val="6FF43270"/>
    <w:rsid w:val="6FFD0C07"/>
    <w:rsid w:val="70012AEB"/>
    <w:rsid w:val="7002775F"/>
    <w:rsid w:val="700A6C8F"/>
    <w:rsid w:val="700E141B"/>
    <w:rsid w:val="700E7208"/>
    <w:rsid w:val="70103475"/>
    <w:rsid w:val="70137D04"/>
    <w:rsid w:val="70307392"/>
    <w:rsid w:val="70384495"/>
    <w:rsid w:val="703E3A4C"/>
    <w:rsid w:val="705A0049"/>
    <w:rsid w:val="70671A1F"/>
    <w:rsid w:val="708079E1"/>
    <w:rsid w:val="70BA0710"/>
    <w:rsid w:val="70C67FBE"/>
    <w:rsid w:val="70DC16E0"/>
    <w:rsid w:val="70E57BF0"/>
    <w:rsid w:val="70E62C10"/>
    <w:rsid w:val="70F874A8"/>
    <w:rsid w:val="70FD42E7"/>
    <w:rsid w:val="710858C4"/>
    <w:rsid w:val="710A33D6"/>
    <w:rsid w:val="710D2000"/>
    <w:rsid w:val="71117B26"/>
    <w:rsid w:val="71142D13"/>
    <w:rsid w:val="71176244"/>
    <w:rsid w:val="711D7DEE"/>
    <w:rsid w:val="71321E97"/>
    <w:rsid w:val="71421843"/>
    <w:rsid w:val="71476A84"/>
    <w:rsid w:val="71683368"/>
    <w:rsid w:val="716E5CF3"/>
    <w:rsid w:val="717807FA"/>
    <w:rsid w:val="71857C6F"/>
    <w:rsid w:val="71894320"/>
    <w:rsid w:val="71966FF7"/>
    <w:rsid w:val="719E1B1F"/>
    <w:rsid w:val="71A06F01"/>
    <w:rsid w:val="71A73B17"/>
    <w:rsid w:val="71A77640"/>
    <w:rsid w:val="71B163AA"/>
    <w:rsid w:val="71B65022"/>
    <w:rsid w:val="71BC7882"/>
    <w:rsid w:val="71BD7DB5"/>
    <w:rsid w:val="71C049C5"/>
    <w:rsid w:val="71D13360"/>
    <w:rsid w:val="71E7391E"/>
    <w:rsid w:val="71F374EE"/>
    <w:rsid w:val="71F917ED"/>
    <w:rsid w:val="71FC0EEB"/>
    <w:rsid w:val="71FE2601"/>
    <w:rsid w:val="720F2851"/>
    <w:rsid w:val="72116A0F"/>
    <w:rsid w:val="72123BB2"/>
    <w:rsid w:val="7216701E"/>
    <w:rsid w:val="721D5507"/>
    <w:rsid w:val="721E601A"/>
    <w:rsid w:val="72304F7A"/>
    <w:rsid w:val="723216AE"/>
    <w:rsid w:val="723343D5"/>
    <w:rsid w:val="723724F6"/>
    <w:rsid w:val="72405B21"/>
    <w:rsid w:val="724542FF"/>
    <w:rsid w:val="725C1E69"/>
    <w:rsid w:val="725C2750"/>
    <w:rsid w:val="725E3131"/>
    <w:rsid w:val="725F7E37"/>
    <w:rsid w:val="72647457"/>
    <w:rsid w:val="72715D5C"/>
    <w:rsid w:val="727F1EB9"/>
    <w:rsid w:val="728174A2"/>
    <w:rsid w:val="72857837"/>
    <w:rsid w:val="728D3D2C"/>
    <w:rsid w:val="729F0FD2"/>
    <w:rsid w:val="72C438A8"/>
    <w:rsid w:val="72CA3D80"/>
    <w:rsid w:val="72D34CEB"/>
    <w:rsid w:val="72D57AB0"/>
    <w:rsid w:val="72D9137F"/>
    <w:rsid w:val="72E54029"/>
    <w:rsid w:val="72E70BF8"/>
    <w:rsid w:val="72EA63FF"/>
    <w:rsid w:val="72FD6107"/>
    <w:rsid w:val="73144F44"/>
    <w:rsid w:val="73155597"/>
    <w:rsid w:val="73163E10"/>
    <w:rsid w:val="73181A8F"/>
    <w:rsid w:val="7333013A"/>
    <w:rsid w:val="73334D6C"/>
    <w:rsid w:val="73342BCE"/>
    <w:rsid w:val="73371DA5"/>
    <w:rsid w:val="733B1DCF"/>
    <w:rsid w:val="73493B67"/>
    <w:rsid w:val="734A7482"/>
    <w:rsid w:val="734B438C"/>
    <w:rsid w:val="734F67F6"/>
    <w:rsid w:val="73562318"/>
    <w:rsid w:val="73562767"/>
    <w:rsid w:val="73663AFC"/>
    <w:rsid w:val="736A3F9C"/>
    <w:rsid w:val="737821B8"/>
    <w:rsid w:val="737C63DB"/>
    <w:rsid w:val="73993138"/>
    <w:rsid w:val="739A051A"/>
    <w:rsid w:val="739F2839"/>
    <w:rsid w:val="739F329F"/>
    <w:rsid w:val="73A11A7E"/>
    <w:rsid w:val="73A370DE"/>
    <w:rsid w:val="73A71AE1"/>
    <w:rsid w:val="73B574F1"/>
    <w:rsid w:val="73B57603"/>
    <w:rsid w:val="73B75AF6"/>
    <w:rsid w:val="73BA1334"/>
    <w:rsid w:val="73CD251B"/>
    <w:rsid w:val="73D15F9A"/>
    <w:rsid w:val="73D70C97"/>
    <w:rsid w:val="73DB6FBE"/>
    <w:rsid w:val="73E165AF"/>
    <w:rsid w:val="73EE0B14"/>
    <w:rsid w:val="73EE3507"/>
    <w:rsid w:val="73F22C88"/>
    <w:rsid w:val="73F93DF4"/>
    <w:rsid w:val="74046F99"/>
    <w:rsid w:val="74054462"/>
    <w:rsid w:val="74153847"/>
    <w:rsid w:val="7417276A"/>
    <w:rsid w:val="741C09B2"/>
    <w:rsid w:val="741F0E37"/>
    <w:rsid w:val="741F63CC"/>
    <w:rsid w:val="74201B79"/>
    <w:rsid w:val="7435157E"/>
    <w:rsid w:val="74393EDB"/>
    <w:rsid w:val="743D03F4"/>
    <w:rsid w:val="743D6175"/>
    <w:rsid w:val="74414378"/>
    <w:rsid w:val="744E10C5"/>
    <w:rsid w:val="74505427"/>
    <w:rsid w:val="74581703"/>
    <w:rsid w:val="745E3B8F"/>
    <w:rsid w:val="746001DF"/>
    <w:rsid w:val="7473166A"/>
    <w:rsid w:val="7481197D"/>
    <w:rsid w:val="74860D66"/>
    <w:rsid w:val="74864EE0"/>
    <w:rsid w:val="74904EE2"/>
    <w:rsid w:val="74940B02"/>
    <w:rsid w:val="74B12EB1"/>
    <w:rsid w:val="74B53572"/>
    <w:rsid w:val="74B86C48"/>
    <w:rsid w:val="74C21C08"/>
    <w:rsid w:val="74C421DC"/>
    <w:rsid w:val="74CD61C6"/>
    <w:rsid w:val="74D401E0"/>
    <w:rsid w:val="74DB79A6"/>
    <w:rsid w:val="74EB35E1"/>
    <w:rsid w:val="74F107C3"/>
    <w:rsid w:val="74F526F1"/>
    <w:rsid w:val="74F70B5D"/>
    <w:rsid w:val="74FA7EB0"/>
    <w:rsid w:val="74FC60ED"/>
    <w:rsid w:val="7514315F"/>
    <w:rsid w:val="753434E4"/>
    <w:rsid w:val="753934B4"/>
    <w:rsid w:val="753D7651"/>
    <w:rsid w:val="75495CB3"/>
    <w:rsid w:val="754D7887"/>
    <w:rsid w:val="756A70F6"/>
    <w:rsid w:val="75705CC9"/>
    <w:rsid w:val="757467A4"/>
    <w:rsid w:val="757C0A2F"/>
    <w:rsid w:val="757C0CE0"/>
    <w:rsid w:val="75B12CEB"/>
    <w:rsid w:val="75BB15F1"/>
    <w:rsid w:val="75BE634C"/>
    <w:rsid w:val="75C6115B"/>
    <w:rsid w:val="75D55F8D"/>
    <w:rsid w:val="75F33876"/>
    <w:rsid w:val="75F54BF4"/>
    <w:rsid w:val="760115A3"/>
    <w:rsid w:val="761F50E3"/>
    <w:rsid w:val="762B1AD7"/>
    <w:rsid w:val="76380BDA"/>
    <w:rsid w:val="76391BCA"/>
    <w:rsid w:val="763B5A27"/>
    <w:rsid w:val="76413459"/>
    <w:rsid w:val="76433B06"/>
    <w:rsid w:val="76447A94"/>
    <w:rsid w:val="76447FEE"/>
    <w:rsid w:val="76501D1E"/>
    <w:rsid w:val="76685FC8"/>
    <w:rsid w:val="7675158C"/>
    <w:rsid w:val="767C29F0"/>
    <w:rsid w:val="767C3D6B"/>
    <w:rsid w:val="76817010"/>
    <w:rsid w:val="76850ED6"/>
    <w:rsid w:val="76880618"/>
    <w:rsid w:val="76933062"/>
    <w:rsid w:val="76B20C98"/>
    <w:rsid w:val="76C43AE8"/>
    <w:rsid w:val="76D46E53"/>
    <w:rsid w:val="76D50E67"/>
    <w:rsid w:val="76D64DC7"/>
    <w:rsid w:val="76E02902"/>
    <w:rsid w:val="76E16318"/>
    <w:rsid w:val="76E908AB"/>
    <w:rsid w:val="76F824F8"/>
    <w:rsid w:val="76FA31CF"/>
    <w:rsid w:val="76FB0D0D"/>
    <w:rsid w:val="77060A18"/>
    <w:rsid w:val="77072F2F"/>
    <w:rsid w:val="771C4483"/>
    <w:rsid w:val="771F1D96"/>
    <w:rsid w:val="772E3F2D"/>
    <w:rsid w:val="772E66BA"/>
    <w:rsid w:val="773173F7"/>
    <w:rsid w:val="77341230"/>
    <w:rsid w:val="773E0104"/>
    <w:rsid w:val="774E53E6"/>
    <w:rsid w:val="77595FAA"/>
    <w:rsid w:val="776657AE"/>
    <w:rsid w:val="776B4255"/>
    <w:rsid w:val="77731964"/>
    <w:rsid w:val="77781BD4"/>
    <w:rsid w:val="777C0972"/>
    <w:rsid w:val="777D1392"/>
    <w:rsid w:val="778115D9"/>
    <w:rsid w:val="77874B7C"/>
    <w:rsid w:val="778F7BB2"/>
    <w:rsid w:val="779313F4"/>
    <w:rsid w:val="77970416"/>
    <w:rsid w:val="779F3640"/>
    <w:rsid w:val="77A938A0"/>
    <w:rsid w:val="77B4584B"/>
    <w:rsid w:val="77B94D23"/>
    <w:rsid w:val="77BF62EF"/>
    <w:rsid w:val="77C33638"/>
    <w:rsid w:val="77CF4F95"/>
    <w:rsid w:val="77DA6A08"/>
    <w:rsid w:val="77DC16A6"/>
    <w:rsid w:val="77E06DC2"/>
    <w:rsid w:val="77EE428C"/>
    <w:rsid w:val="77F92A74"/>
    <w:rsid w:val="77FB426E"/>
    <w:rsid w:val="782216B1"/>
    <w:rsid w:val="782E1CA6"/>
    <w:rsid w:val="78373833"/>
    <w:rsid w:val="783C083D"/>
    <w:rsid w:val="78533F96"/>
    <w:rsid w:val="78591E3E"/>
    <w:rsid w:val="785A428E"/>
    <w:rsid w:val="78612AF0"/>
    <w:rsid w:val="786C0F68"/>
    <w:rsid w:val="78723A9A"/>
    <w:rsid w:val="78732F74"/>
    <w:rsid w:val="78753424"/>
    <w:rsid w:val="78795CDA"/>
    <w:rsid w:val="7887229E"/>
    <w:rsid w:val="788927A9"/>
    <w:rsid w:val="78AC139F"/>
    <w:rsid w:val="78AF3042"/>
    <w:rsid w:val="78BD222A"/>
    <w:rsid w:val="78C13FA1"/>
    <w:rsid w:val="78C22E80"/>
    <w:rsid w:val="78CB7BDD"/>
    <w:rsid w:val="78D62B3A"/>
    <w:rsid w:val="78DA3CF1"/>
    <w:rsid w:val="78E2318B"/>
    <w:rsid w:val="78E407D5"/>
    <w:rsid w:val="78F876FF"/>
    <w:rsid w:val="79044A91"/>
    <w:rsid w:val="79047B04"/>
    <w:rsid w:val="79051D6A"/>
    <w:rsid w:val="790963B2"/>
    <w:rsid w:val="790A1BA4"/>
    <w:rsid w:val="79145E91"/>
    <w:rsid w:val="79150360"/>
    <w:rsid w:val="79196CED"/>
    <w:rsid w:val="79275CFC"/>
    <w:rsid w:val="793345A2"/>
    <w:rsid w:val="793A1126"/>
    <w:rsid w:val="79466737"/>
    <w:rsid w:val="794F2712"/>
    <w:rsid w:val="794F43F8"/>
    <w:rsid w:val="7963531C"/>
    <w:rsid w:val="79642100"/>
    <w:rsid w:val="796E6977"/>
    <w:rsid w:val="7973592A"/>
    <w:rsid w:val="79761775"/>
    <w:rsid w:val="798E550A"/>
    <w:rsid w:val="79950C27"/>
    <w:rsid w:val="799A49DC"/>
    <w:rsid w:val="79A53240"/>
    <w:rsid w:val="79AD44C6"/>
    <w:rsid w:val="79B77D5A"/>
    <w:rsid w:val="79B81B45"/>
    <w:rsid w:val="79B82DAD"/>
    <w:rsid w:val="79B9789C"/>
    <w:rsid w:val="79BA6703"/>
    <w:rsid w:val="79C0601C"/>
    <w:rsid w:val="79C6608F"/>
    <w:rsid w:val="79C72A74"/>
    <w:rsid w:val="79D00BBD"/>
    <w:rsid w:val="79E07E32"/>
    <w:rsid w:val="79E10593"/>
    <w:rsid w:val="79E17C6B"/>
    <w:rsid w:val="79EB7E94"/>
    <w:rsid w:val="79F56DBD"/>
    <w:rsid w:val="79F5769A"/>
    <w:rsid w:val="7A010F59"/>
    <w:rsid w:val="7A0160E8"/>
    <w:rsid w:val="7A1700B0"/>
    <w:rsid w:val="7A282A4A"/>
    <w:rsid w:val="7A384F41"/>
    <w:rsid w:val="7A3E5B3E"/>
    <w:rsid w:val="7A4865A3"/>
    <w:rsid w:val="7A4C5280"/>
    <w:rsid w:val="7A4F5AFC"/>
    <w:rsid w:val="7A540683"/>
    <w:rsid w:val="7A7718C0"/>
    <w:rsid w:val="7A7D43BE"/>
    <w:rsid w:val="7A87687D"/>
    <w:rsid w:val="7A903F25"/>
    <w:rsid w:val="7A975AB8"/>
    <w:rsid w:val="7A9F3133"/>
    <w:rsid w:val="7AA06303"/>
    <w:rsid w:val="7AA42BD9"/>
    <w:rsid w:val="7AB15397"/>
    <w:rsid w:val="7AB634D8"/>
    <w:rsid w:val="7ABE0CCA"/>
    <w:rsid w:val="7AC939A6"/>
    <w:rsid w:val="7AD31379"/>
    <w:rsid w:val="7ADE7C50"/>
    <w:rsid w:val="7AEE5F2B"/>
    <w:rsid w:val="7AF11751"/>
    <w:rsid w:val="7AFD3F00"/>
    <w:rsid w:val="7B000949"/>
    <w:rsid w:val="7B1502CF"/>
    <w:rsid w:val="7B2A4395"/>
    <w:rsid w:val="7B2C37E5"/>
    <w:rsid w:val="7B2F535C"/>
    <w:rsid w:val="7B300902"/>
    <w:rsid w:val="7B4031B7"/>
    <w:rsid w:val="7B42581C"/>
    <w:rsid w:val="7B427423"/>
    <w:rsid w:val="7B431801"/>
    <w:rsid w:val="7B447655"/>
    <w:rsid w:val="7B483D37"/>
    <w:rsid w:val="7B573EC0"/>
    <w:rsid w:val="7B5E0E8D"/>
    <w:rsid w:val="7B5F2187"/>
    <w:rsid w:val="7B7438F1"/>
    <w:rsid w:val="7B82166D"/>
    <w:rsid w:val="7B82799C"/>
    <w:rsid w:val="7B87465B"/>
    <w:rsid w:val="7B8E6F0A"/>
    <w:rsid w:val="7BA371D3"/>
    <w:rsid w:val="7BBA71E8"/>
    <w:rsid w:val="7BBC60AA"/>
    <w:rsid w:val="7BC34C47"/>
    <w:rsid w:val="7BC45265"/>
    <w:rsid w:val="7BC72BE4"/>
    <w:rsid w:val="7BCF67F2"/>
    <w:rsid w:val="7BD35D16"/>
    <w:rsid w:val="7BD455C8"/>
    <w:rsid w:val="7BE20DF9"/>
    <w:rsid w:val="7BF22313"/>
    <w:rsid w:val="7BF64FA4"/>
    <w:rsid w:val="7BF75CC2"/>
    <w:rsid w:val="7C0311B1"/>
    <w:rsid w:val="7C0346BB"/>
    <w:rsid w:val="7C0B1FDB"/>
    <w:rsid w:val="7C0C238F"/>
    <w:rsid w:val="7C0D13BC"/>
    <w:rsid w:val="7C1F0AE0"/>
    <w:rsid w:val="7C1F467E"/>
    <w:rsid w:val="7C2F6387"/>
    <w:rsid w:val="7C360225"/>
    <w:rsid w:val="7C4116D4"/>
    <w:rsid w:val="7C4314CA"/>
    <w:rsid w:val="7C595560"/>
    <w:rsid w:val="7C595C21"/>
    <w:rsid w:val="7C6A1689"/>
    <w:rsid w:val="7C8013E8"/>
    <w:rsid w:val="7C886349"/>
    <w:rsid w:val="7C910C17"/>
    <w:rsid w:val="7C974439"/>
    <w:rsid w:val="7C9D1E53"/>
    <w:rsid w:val="7C9F16E8"/>
    <w:rsid w:val="7CA15128"/>
    <w:rsid w:val="7CA660B3"/>
    <w:rsid w:val="7CB20D57"/>
    <w:rsid w:val="7CB22E12"/>
    <w:rsid w:val="7CB72C5A"/>
    <w:rsid w:val="7CB87132"/>
    <w:rsid w:val="7CB929BE"/>
    <w:rsid w:val="7CCB3A02"/>
    <w:rsid w:val="7CD00694"/>
    <w:rsid w:val="7CD435EB"/>
    <w:rsid w:val="7CDA30CC"/>
    <w:rsid w:val="7CDB2DC2"/>
    <w:rsid w:val="7CDF5EBE"/>
    <w:rsid w:val="7CE35E86"/>
    <w:rsid w:val="7CEE7BD1"/>
    <w:rsid w:val="7CF629DD"/>
    <w:rsid w:val="7D0C1DAD"/>
    <w:rsid w:val="7D0D1D50"/>
    <w:rsid w:val="7D1131A9"/>
    <w:rsid w:val="7D205991"/>
    <w:rsid w:val="7D2C5E1F"/>
    <w:rsid w:val="7D4023EF"/>
    <w:rsid w:val="7D4851F7"/>
    <w:rsid w:val="7D5B3842"/>
    <w:rsid w:val="7D5D1BB6"/>
    <w:rsid w:val="7D6201AF"/>
    <w:rsid w:val="7D93489B"/>
    <w:rsid w:val="7DA23843"/>
    <w:rsid w:val="7DC2173F"/>
    <w:rsid w:val="7DCC6BDE"/>
    <w:rsid w:val="7DD97F11"/>
    <w:rsid w:val="7DDD5414"/>
    <w:rsid w:val="7DDE23E0"/>
    <w:rsid w:val="7DDF05C2"/>
    <w:rsid w:val="7DE34D4E"/>
    <w:rsid w:val="7E161AC9"/>
    <w:rsid w:val="7E393AEC"/>
    <w:rsid w:val="7E4308A8"/>
    <w:rsid w:val="7E472E2A"/>
    <w:rsid w:val="7E503AF1"/>
    <w:rsid w:val="7E53464A"/>
    <w:rsid w:val="7E5B15E6"/>
    <w:rsid w:val="7E5C1DD9"/>
    <w:rsid w:val="7E845961"/>
    <w:rsid w:val="7E914167"/>
    <w:rsid w:val="7E955DDA"/>
    <w:rsid w:val="7E982F79"/>
    <w:rsid w:val="7E9843BF"/>
    <w:rsid w:val="7EB97F02"/>
    <w:rsid w:val="7EC8561A"/>
    <w:rsid w:val="7ED2148A"/>
    <w:rsid w:val="7ED32D35"/>
    <w:rsid w:val="7ED33B66"/>
    <w:rsid w:val="7EE356D2"/>
    <w:rsid w:val="7EE36C42"/>
    <w:rsid w:val="7EFA5445"/>
    <w:rsid w:val="7F103DA2"/>
    <w:rsid w:val="7F1926A2"/>
    <w:rsid w:val="7F1D0649"/>
    <w:rsid w:val="7F1F20DF"/>
    <w:rsid w:val="7F2759C1"/>
    <w:rsid w:val="7F2935DB"/>
    <w:rsid w:val="7F323F5E"/>
    <w:rsid w:val="7F486C79"/>
    <w:rsid w:val="7F4B0B80"/>
    <w:rsid w:val="7F536451"/>
    <w:rsid w:val="7F5C2D7C"/>
    <w:rsid w:val="7F5D2F9A"/>
    <w:rsid w:val="7F5E0FFA"/>
    <w:rsid w:val="7F6164C1"/>
    <w:rsid w:val="7F650E0C"/>
    <w:rsid w:val="7F656370"/>
    <w:rsid w:val="7F667430"/>
    <w:rsid w:val="7F731A0E"/>
    <w:rsid w:val="7F745656"/>
    <w:rsid w:val="7F822FC1"/>
    <w:rsid w:val="7F860A49"/>
    <w:rsid w:val="7F8B7599"/>
    <w:rsid w:val="7F8C083A"/>
    <w:rsid w:val="7F9D1BB7"/>
    <w:rsid w:val="7FB04401"/>
    <w:rsid w:val="7FB873B5"/>
    <w:rsid w:val="7FC9384A"/>
    <w:rsid w:val="7FD56D27"/>
    <w:rsid w:val="7FDB7ED1"/>
    <w:rsid w:val="7FE43561"/>
    <w:rsid w:val="7FE94C7C"/>
    <w:rsid w:val="7FEB3F24"/>
    <w:rsid w:val="7FEB7313"/>
    <w:rsid w:val="7FF75104"/>
    <w:rsid w:val="7FFE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unhideWhenUsed/>
    <w:qFormat/>
    <w:uiPriority w:val="9"/>
    <w:pPr>
      <w:keepNext/>
      <w:keepLines/>
      <w:spacing w:before="260" w:after="260" w:line="413" w:lineRule="auto"/>
      <w:outlineLvl w:val="1"/>
    </w:pPr>
    <w:rPr>
      <w:rFonts w:ascii="Arial" w:hAnsi="Arial" w:eastAsia="黑体"/>
      <w:b/>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3">
    <w:name w:val="样式 正文缩进 + 首行缩进:  2 字符"/>
    <w:basedOn w:val="4"/>
    <w:qFormat/>
    <w:uiPriority w:val="0"/>
    <w:pPr>
      <w:spacing w:line="360" w:lineRule="auto"/>
      <w:ind w:firstLine="200"/>
    </w:pPr>
    <w:rPr>
      <w:rFonts w:cs="宋体"/>
      <w:sz w:val="24"/>
      <w:szCs w:val="20"/>
    </w:rPr>
  </w:style>
  <w:style w:type="paragraph" w:styleId="4">
    <w:name w:val="Normal Indent"/>
    <w:basedOn w:val="1"/>
    <w:unhideWhenUsed/>
    <w:qFormat/>
    <w:uiPriority w:val="99"/>
    <w:pPr>
      <w:ind w:firstLine="420"/>
    </w:pPr>
    <w:rPr>
      <w:rFonts w:ascii="Times New Roman" w:hAnsi="Times New Roman"/>
    </w:rPr>
  </w:style>
  <w:style w:type="paragraph" w:styleId="5">
    <w:name w:val="footer"/>
    <w:basedOn w:val="1"/>
    <w:qFormat/>
    <w:uiPriority w:val="99"/>
    <w:pPr>
      <w:tabs>
        <w:tab w:val="center" w:pos="4153"/>
        <w:tab w:val="right" w:pos="8306"/>
      </w:tabs>
      <w:snapToGrid w:val="0"/>
      <w:jc w:val="left"/>
    </w:pPr>
    <w:rPr>
      <w:kern w:val="0"/>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qFormat/>
    <w:uiPriority w:val="0"/>
    <w:pPr>
      <w:jc w:val="left"/>
    </w:pPr>
    <w:rPr>
      <w:rFonts w:cs="Times New Roman"/>
      <w:kern w:val="0"/>
      <w:sz w:val="24"/>
    </w:rPr>
  </w:style>
  <w:style w:type="character" w:styleId="10">
    <w:name w:val="Strong"/>
    <w:basedOn w:val="9"/>
    <w:qFormat/>
    <w:uiPriority w:val="0"/>
    <w:rPr>
      <w:b/>
      <w:sz w:val="24"/>
      <w:szCs w:val="24"/>
    </w:rPr>
  </w:style>
  <w:style w:type="character" w:styleId="11">
    <w:name w:val="Emphasis"/>
    <w:basedOn w:val="9"/>
    <w:qFormat/>
    <w:uiPriority w:val="0"/>
    <w:rPr>
      <w:color w:val="CC0000"/>
      <w:sz w:val="24"/>
      <w:szCs w:val="24"/>
    </w:rPr>
  </w:style>
  <w:style w:type="character" w:styleId="12">
    <w:name w:val="HTML Cite"/>
    <w:basedOn w:val="9"/>
    <w:qFormat/>
    <w:uiPriority w:val="0"/>
    <w:rPr>
      <w:sz w:val="24"/>
      <w:szCs w:val="24"/>
    </w:rPr>
  </w:style>
  <w:style w:type="paragraph" w:styleId="13">
    <w:name w:val="List Paragraph"/>
    <w:basedOn w:val="1"/>
    <w:qFormat/>
    <w:uiPriority w:val="34"/>
    <w:pPr>
      <w:ind w:firstLine="420"/>
    </w:pPr>
  </w:style>
  <w:style w:type="paragraph" w:customStyle="1" w:styleId="14">
    <w:name w:val="Default"/>
    <w:qFormat/>
    <w:uiPriority w:val="0"/>
    <w:pPr>
      <w:widowControl w:val="0"/>
      <w:autoSpaceDE w:val="0"/>
      <w:autoSpaceDN w:val="0"/>
      <w:adjustRightInd w:val="0"/>
    </w:pPr>
    <w:rPr>
      <w:rFonts w:ascii="隶书" w:hAnsi="Times New Roman" w:eastAsia="隶书" w:cs="隶书"/>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103"/>
    <customShpInfo spid="_x0000_s4104"/>
    <customShpInfo spid="_x0000_s4105"/>
    <customShpInfo spid="_x0000_s4106"/>
    <customShpInfo spid="_x0000_s4097"/>
    <customShpInfo spid="_x0000_s4098"/>
    <customShpInfo spid="_x0000_s4099"/>
    <customShpInfo spid="_x0000_s4100"/>
    <customShpInfo spid="_x0000_s4107"/>
    <customShpInfo spid="_x0000_s4108"/>
    <customShpInfo spid="_x0000_s1026" textRotate="1"/>
    <customShpInfo spid="_x0000_s4101"/>
    <customShpInfo spid="_x0000_s410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17765</Words>
  <Characters>18131</Characters>
  <Lines>126</Lines>
  <Paragraphs>35</Paragraphs>
  <TotalTime>0</TotalTime>
  <ScaleCrop>false</ScaleCrop>
  <LinksUpToDate>false</LinksUpToDate>
  <CharactersWithSpaces>19585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2019-07-15T08:02:00Z</dcterms:created>
  <dc:creator>lihh</dc:creator>
  <cp:lastModifiedBy>银盛法务</cp:lastModifiedBy>
  <dcterms:modified xsi:type="dcterms:W3CDTF">2023-08-14T06:11:13Z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9767DF9D35934983ABCF065EABB15FDD_13</vt:lpwstr>
  </property>
</Properties>
</file>